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2070A" w14:textId="283F478C"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noProof/>
          <w:color w:val="000000" w:themeColor="text1"/>
          <w:sz w:val="24"/>
          <w:szCs w:val="24"/>
        </w:rPr>
        <w:drawing>
          <wp:inline distT="0" distB="0" distL="0" distR="0" wp14:anchorId="779FB524" wp14:editId="44F52A2D">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a:extLst>
                        <a:ext uri="smNativeData">
                          <sm:smNativeData xmlns:oel="http://schemas.microsoft.com/office/2019/extlst" xmlns:o="urn:schemas-microsoft-com:office:office" xmlns:v="urn:schemas-microsoft-com:vml" xmlns:w10="urn:schemas-microsoft-com:office:word" xmlns:w="http://schemas.openxmlformats.org/wordprocessingml/2006/main" xmlns:sm="smNativeData" xmlns="" val="SMDATA_16_cAGZZ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6AAAAAAAAAAAAAAAAAAAAAAAAAAAAAAAAAAAAAAAAAAAAAAggcAAMAHAAAAAAAAAAAAAAAAAAAoAAAACAAAAAEAAAABAAAA"/>
                        </a:ext>
                      </a:extLst>
                    </pic:cNvPicPr>
                  </pic:nvPicPr>
                  <pic:blipFill>
                    <a:blip r:embed="rId7"/>
                    <a:stretch>
                      <a:fillRect/>
                    </a:stretch>
                  </pic:blipFill>
                  <pic:spPr>
                    <a:xfrm>
                      <a:off x="0" y="0"/>
                      <a:ext cx="1220470" cy="1259840"/>
                    </a:xfrm>
                    <a:prstGeom prst="rect">
                      <a:avLst/>
                    </a:prstGeom>
                    <a:noFill/>
                    <a:ln w="12700">
                      <a:noFill/>
                    </a:ln>
                  </pic:spPr>
                </pic:pic>
              </a:graphicData>
            </a:graphic>
          </wp:inline>
        </w:drawing>
      </w:r>
    </w:p>
    <w:p w14:paraId="0F44FE7A" w14:textId="77777777" w:rsidR="00D54AAE" w:rsidRPr="000F0FDD" w:rsidRDefault="006B31C8">
      <w:pPr>
        <w:jc w:val="center"/>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 xml:space="preserve">College of Hotel Management and Gastronomy </w:t>
      </w:r>
    </w:p>
    <w:p w14:paraId="64E33AE7" w14:textId="77777777" w:rsidR="00D54AAE" w:rsidRPr="000F0FDD" w:rsidRDefault="006B31C8">
      <w:pPr>
        <w:jc w:val="center"/>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in Poznań</w:t>
      </w:r>
    </w:p>
    <w:p w14:paraId="7C578CAD" w14:textId="77777777" w:rsidR="00D54AAE" w:rsidRPr="000F0FDD" w:rsidRDefault="00D54AAE">
      <w:pPr>
        <w:jc w:val="center"/>
        <w:rPr>
          <w:rFonts w:ascii="Times New Roman" w:hAnsi="Times New Roman" w:cs="Times New Roman"/>
          <w:color w:val="000000" w:themeColor="text1"/>
          <w:sz w:val="24"/>
          <w:szCs w:val="24"/>
          <w:lang w:val="en-US"/>
        </w:rPr>
      </w:pPr>
    </w:p>
    <w:p w14:paraId="45BCC41B" w14:textId="77777777" w:rsidR="00D54AAE" w:rsidRPr="000F0FDD" w:rsidRDefault="006B31C8">
      <w:pPr>
        <w:jc w:val="center"/>
        <w:rPr>
          <w:rFonts w:ascii="Times New Roman" w:hAnsi="Times New Roman" w:cs="Times New Roman"/>
          <w:b/>
          <w:color w:val="000000" w:themeColor="text1"/>
          <w:sz w:val="32"/>
          <w:szCs w:val="32"/>
          <w:lang w:val="en-US"/>
        </w:rPr>
      </w:pPr>
      <w:r w:rsidRPr="000F0FDD">
        <w:rPr>
          <w:rFonts w:ascii="Times New Roman" w:hAnsi="Times New Roman" w:cs="Times New Roman"/>
          <w:b/>
          <w:color w:val="000000" w:themeColor="text1"/>
          <w:sz w:val="32"/>
          <w:szCs w:val="32"/>
          <w:lang w:val="en-US"/>
        </w:rPr>
        <w:t>Dilemmas of cross-cultural interaction</w:t>
      </w:r>
    </w:p>
    <w:p w14:paraId="75BC1201" w14:textId="77777777" w:rsidR="00D54AAE" w:rsidRPr="006B31C8" w:rsidRDefault="006B31C8">
      <w:pPr>
        <w:jc w:val="center"/>
        <w:rPr>
          <w:rFonts w:ascii="Times New Roman" w:hAnsi="Times New Roman" w:cs="Times New Roman"/>
          <w:color w:val="000000" w:themeColor="text1"/>
          <w:sz w:val="32"/>
          <w:szCs w:val="32"/>
        </w:rPr>
      </w:pPr>
      <w:r w:rsidRPr="006B31C8">
        <w:rPr>
          <w:rFonts w:ascii="Times New Roman" w:hAnsi="Times New Roman" w:cs="Times New Roman"/>
          <w:color w:val="000000" w:themeColor="text1"/>
          <w:sz w:val="32"/>
          <w:szCs w:val="32"/>
        </w:rPr>
        <w:t>Syllabus of classes</w:t>
      </w:r>
    </w:p>
    <w:p w14:paraId="4B0B942B" w14:textId="77777777" w:rsidR="00D54AAE" w:rsidRPr="006B31C8" w:rsidRDefault="00D54AAE">
      <w:pPr>
        <w:jc w:val="center"/>
        <w:rPr>
          <w:rFonts w:ascii="Times New Roman" w:hAnsi="Times New Roman" w:cs="Times New Roman"/>
          <w:color w:val="000000" w:themeColor="text1"/>
          <w:sz w:val="24"/>
          <w:szCs w:val="24"/>
        </w:rPr>
      </w:pPr>
    </w:p>
    <w:p w14:paraId="16400D5D"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Basic information</w:t>
      </w:r>
    </w:p>
    <w:tbl>
      <w:tblPr>
        <w:tblStyle w:val="Siatkatabeli"/>
        <w:tblW w:w="9062" w:type="dxa"/>
        <w:tblLook w:val="04A0" w:firstRow="1" w:lastRow="0" w:firstColumn="1" w:lastColumn="0" w:noHBand="0" w:noVBand="1"/>
      </w:tblPr>
      <w:tblGrid>
        <w:gridCol w:w="2263"/>
        <w:gridCol w:w="3119"/>
        <w:gridCol w:w="3680"/>
      </w:tblGrid>
      <w:tr w:rsidR="006B31C8" w:rsidRPr="006B31C8" w14:paraId="618E67D7" w14:textId="77777777">
        <w:tc>
          <w:tcPr>
            <w:tcW w:w="5382" w:type="dxa"/>
            <w:gridSpan w:val="2"/>
          </w:tcPr>
          <w:p w14:paraId="324D7729" w14:textId="77777777" w:rsidR="00D54AAE" w:rsidRPr="000F0FDD" w:rsidRDefault="006B31C8">
            <w:pPr>
              <w:spacing w:line="276" w:lineRule="auto"/>
              <w:jc w:val="both"/>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Field of study</w:t>
            </w:r>
          </w:p>
          <w:p w14:paraId="60E13995" w14:textId="77777777" w:rsidR="00D54AAE" w:rsidRPr="000F0FDD" w:rsidRDefault="006B31C8">
            <w:pPr>
              <w:spacing w:line="276" w:lineRule="auto"/>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Tourism &amp; Recreation</w:t>
            </w:r>
          </w:p>
          <w:p w14:paraId="3B6AF33A" w14:textId="77777777" w:rsidR="00D54AAE" w:rsidRPr="000F0FDD" w:rsidRDefault="00D54AAE">
            <w:pPr>
              <w:spacing w:line="276" w:lineRule="auto"/>
              <w:jc w:val="both"/>
              <w:rPr>
                <w:rFonts w:ascii="Times New Roman" w:hAnsi="Times New Roman" w:cs="Times New Roman"/>
                <w:color w:val="000000" w:themeColor="text1"/>
                <w:sz w:val="24"/>
                <w:szCs w:val="24"/>
                <w:lang w:val="en-US"/>
              </w:rPr>
            </w:pPr>
          </w:p>
          <w:p w14:paraId="1101D9B4" w14:textId="77777777" w:rsidR="00D54AAE" w:rsidRPr="000F0FDD" w:rsidRDefault="006B31C8">
            <w:pPr>
              <w:spacing w:line="276" w:lineRule="auto"/>
              <w:jc w:val="both"/>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Specialty</w:t>
            </w:r>
          </w:p>
          <w:p w14:paraId="0F099BDF" w14:textId="77777777" w:rsidR="00D54AAE" w:rsidRPr="006B31C8" w:rsidRDefault="006B31C8">
            <w:pPr>
              <w:pStyle w:val="Akapitzlist"/>
              <w:numPr>
                <w:ilvl w:val="0"/>
                <w:numId w:val="1"/>
              </w:numPr>
              <w:spacing w:line="276" w:lineRule="auto"/>
              <w:ind w:left="175" w:hanging="218"/>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Hospitality &amp; Catering</w:t>
            </w:r>
          </w:p>
          <w:p w14:paraId="11621C0F" w14:textId="77777777" w:rsidR="00C22FF9" w:rsidRPr="000F0FDD" w:rsidRDefault="006B31C8">
            <w:pPr>
              <w:pStyle w:val="Akapitzlist"/>
              <w:numPr>
                <w:ilvl w:val="0"/>
                <w:numId w:val="1"/>
              </w:numPr>
              <w:spacing w:line="276" w:lineRule="auto"/>
              <w:ind w:left="175" w:hanging="218"/>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 xml:space="preserve">Management and Marketing in Hospitality, </w:t>
            </w:r>
          </w:p>
          <w:p w14:paraId="7EAD6671" w14:textId="3C6532FE" w:rsidR="00D54AAE" w:rsidRPr="00C22FF9" w:rsidRDefault="006B31C8" w:rsidP="00C22FF9">
            <w:pPr>
              <w:spacing w:line="276" w:lineRule="auto"/>
              <w:ind w:left="-43"/>
              <w:jc w:val="both"/>
              <w:rPr>
                <w:rFonts w:ascii="Times New Roman" w:hAnsi="Times New Roman" w:cs="Times New Roman"/>
                <w:color w:val="000000" w:themeColor="text1"/>
                <w:sz w:val="24"/>
                <w:szCs w:val="24"/>
              </w:rPr>
            </w:pPr>
            <w:r w:rsidRPr="00C22FF9">
              <w:rPr>
                <w:rFonts w:ascii="Times New Roman" w:hAnsi="Times New Roman" w:cs="Times New Roman"/>
                <w:color w:val="000000" w:themeColor="text1"/>
                <w:sz w:val="24"/>
                <w:szCs w:val="24"/>
              </w:rPr>
              <w:t>Gastronomy, Tourism and Recreation</w:t>
            </w:r>
          </w:p>
          <w:p w14:paraId="37045608" w14:textId="77777777" w:rsidR="00C22FF9" w:rsidRDefault="006B31C8" w:rsidP="00481721">
            <w:pPr>
              <w:pStyle w:val="Akapitzlist"/>
              <w:numPr>
                <w:ilvl w:val="0"/>
                <w:numId w:val="1"/>
              </w:numPr>
              <w:spacing w:line="276" w:lineRule="auto"/>
              <w:ind w:left="175" w:hanging="218"/>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Hotel Facility Manager and </w:t>
            </w:r>
          </w:p>
          <w:p w14:paraId="311B93FC" w14:textId="620D65B9" w:rsidR="00D54AAE" w:rsidRPr="006B31C8" w:rsidRDefault="006B31C8" w:rsidP="00C22FF9">
            <w:pPr>
              <w:pStyle w:val="Akapitzlist"/>
              <w:spacing w:line="276" w:lineRule="auto"/>
              <w:ind w:left="175"/>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Catering</w:t>
            </w:r>
          </w:p>
          <w:p w14:paraId="7DA44C23" w14:textId="77777777" w:rsidR="00C22FF9" w:rsidRPr="000F0FDD" w:rsidRDefault="00481721" w:rsidP="00481721">
            <w:pPr>
              <w:pStyle w:val="Akapitzlist"/>
              <w:numPr>
                <w:ilvl w:val="0"/>
                <w:numId w:val="1"/>
              </w:numPr>
              <w:spacing w:line="276" w:lineRule="auto"/>
              <w:ind w:left="175" w:hanging="218"/>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 xml:space="preserve">Hospitality Management under the Patronage of </w:t>
            </w:r>
          </w:p>
          <w:p w14:paraId="47185E1A" w14:textId="69A299B0" w:rsidR="00481721" w:rsidRPr="000F0FDD" w:rsidRDefault="00E27480" w:rsidP="00C22FF9">
            <w:pPr>
              <w:pStyle w:val="Akapitzlist"/>
              <w:spacing w:line="276" w:lineRule="auto"/>
              <w:ind w:left="175"/>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Sheraton Poznań</w:t>
            </w:r>
          </w:p>
          <w:p w14:paraId="6149A6A2" w14:textId="77777777" w:rsidR="00E27480" w:rsidRPr="000F0FDD" w:rsidRDefault="00E27480" w:rsidP="00E27480">
            <w:pPr>
              <w:pStyle w:val="Akapitzlist"/>
              <w:spacing w:line="276" w:lineRule="auto"/>
              <w:ind w:left="175"/>
              <w:jc w:val="both"/>
              <w:rPr>
                <w:rFonts w:ascii="Times New Roman" w:hAnsi="Times New Roman" w:cs="Times New Roman"/>
                <w:color w:val="000000" w:themeColor="text1"/>
                <w:sz w:val="24"/>
                <w:szCs w:val="24"/>
                <w:lang w:val="en-US"/>
              </w:rPr>
            </w:pPr>
          </w:p>
          <w:p w14:paraId="0A08E837" w14:textId="77777777" w:rsidR="00D54AAE" w:rsidRPr="000F0FDD" w:rsidRDefault="006B31C8">
            <w:pPr>
              <w:spacing w:line="276" w:lineRule="auto"/>
              <w:jc w:val="both"/>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Level of Study</w:t>
            </w:r>
          </w:p>
          <w:p w14:paraId="12C14C44" w14:textId="77777777" w:rsidR="00D54AAE" w:rsidRPr="000F0FDD" w:rsidRDefault="006B31C8">
            <w:pPr>
              <w:spacing w:line="276" w:lineRule="auto"/>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Bachelor's degree studies</w:t>
            </w:r>
          </w:p>
          <w:p w14:paraId="1C978EB8" w14:textId="77777777" w:rsidR="00D54AAE" w:rsidRPr="000F0FDD" w:rsidRDefault="00D54AAE">
            <w:pPr>
              <w:spacing w:line="276" w:lineRule="auto"/>
              <w:jc w:val="both"/>
              <w:rPr>
                <w:rFonts w:ascii="Times New Roman" w:hAnsi="Times New Roman" w:cs="Times New Roman"/>
                <w:color w:val="000000" w:themeColor="text1"/>
                <w:sz w:val="24"/>
                <w:szCs w:val="24"/>
                <w:lang w:val="en-US"/>
              </w:rPr>
            </w:pPr>
          </w:p>
          <w:p w14:paraId="7D4ADD4A" w14:textId="77777777" w:rsidR="00D54AAE" w:rsidRPr="000F0FDD" w:rsidRDefault="006B31C8">
            <w:pPr>
              <w:spacing w:line="276" w:lineRule="auto"/>
              <w:jc w:val="both"/>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Form of study</w:t>
            </w:r>
          </w:p>
          <w:p w14:paraId="3C1865C8" w14:textId="77777777" w:rsidR="00D54AAE" w:rsidRPr="000F0FDD" w:rsidRDefault="006B31C8">
            <w:pPr>
              <w:spacing w:line="276" w:lineRule="auto"/>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Full-time and part-time studies</w:t>
            </w:r>
          </w:p>
          <w:p w14:paraId="0F0573EA" w14:textId="77777777" w:rsidR="00D54AAE" w:rsidRPr="000F0FDD" w:rsidRDefault="00D54AAE">
            <w:pPr>
              <w:spacing w:line="276" w:lineRule="auto"/>
              <w:jc w:val="both"/>
              <w:rPr>
                <w:rFonts w:ascii="Times New Roman" w:hAnsi="Times New Roman" w:cs="Times New Roman"/>
                <w:color w:val="000000" w:themeColor="text1"/>
                <w:sz w:val="24"/>
                <w:szCs w:val="24"/>
                <w:lang w:val="en-US"/>
              </w:rPr>
            </w:pPr>
          </w:p>
          <w:p w14:paraId="5F3C8BB5" w14:textId="77777777" w:rsidR="00D54AAE" w:rsidRPr="000F0FDD" w:rsidRDefault="006B31C8">
            <w:pPr>
              <w:spacing w:line="276" w:lineRule="auto"/>
              <w:jc w:val="both"/>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Profile of studies</w:t>
            </w:r>
          </w:p>
          <w:p w14:paraId="30C88555" w14:textId="77777777" w:rsidR="00D54AAE" w:rsidRPr="000F0FDD" w:rsidRDefault="006B31C8">
            <w:pPr>
              <w:spacing w:line="276" w:lineRule="auto"/>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Practical profile</w:t>
            </w:r>
          </w:p>
        </w:tc>
        <w:tc>
          <w:tcPr>
            <w:tcW w:w="3680" w:type="dxa"/>
          </w:tcPr>
          <w:p w14:paraId="17AFDAE8" w14:textId="77777777" w:rsidR="00D54AAE" w:rsidRPr="006B31C8" w:rsidRDefault="006B31C8">
            <w:pPr>
              <w:spacing w:line="276" w:lineRule="auto"/>
              <w:jc w:val="both"/>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 xml:space="preserve">Didactic cycle </w:t>
            </w:r>
          </w:p>
          <w:p w14:paraId="506DC5A1" w14:textId="0C20DD70" w:rsidR="00D54AAE" w:rsidRPr="006B31C8" w:rsidRDefault="006B31C8">
            <w:pPr>
              <w:spacing w:line="276" w:lineRule="auto"/>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2023/ 2024</w:t>
            </w:r>
          </w:p>
          <w:p w14:paraId="1E43990B" w14:textId="77777777" w:rsidR="00D54AAE" w:rsidRPr="006B31C8" w:rsidRDefault="00D54AAE">
            <w:pPr>
              <w:spacing w:line="276" w:lineRule="auto"/>
              <w:jc w:val="both"/>
              <w:rPr>
                <w:rFonts w:ascii="Times New Roman" w:hAnsi="Times New Roman" w:cs="Times New Roman"/>
                <w:color w:val="000000" w:themeColor="text1"/>
                <w:sz w:val="24"/>
                <w:szCs w:val="24"/>
              </w:rPr>
            </w:pPr>
          </w:p>
          <w:p w14:paraId="2252EF86" w14:textId="77777777" w:rsidR="00D54AAE" w:rsidRPr="006B31C8" w:rsidRDefault="006B31C8">
            <w:pPr>
              <w:spacing w:line="276" w:lineRule="auto"/>
              <w:jc w:val="both"/>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Class Code</w:t>
            </w:r>
          </w:p>
          <w:p w14:paraId="497F9961" w14:textId="77777777" w:rsidR="00C22FF9" w:rsidRDefault="00481721">
            <w:pPr>
              <w:spacing w:line="276" w:lineRule="auto"/>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Interaction dilemmas </w:t>
            </w:r>
          </w:p>
          <w:p w14:paraId="5421E959" w14:textId="2309C963" w:rsidR="00D54AAE" w:rsidRPr="006B31C8" w:rsidRDefault="00481721">
            <w:pPr>
              <w:spacing w:line="276" w:lineRule="auto"/>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Intercultural</w:t>
            </w:r>
          </w:p>
          <w:p w14:paraId="56503C26" w14:textId="77777777" w:rsidR="00481721" w:rsidRPr="006B31C8" w:rsidRDefault="00481721">
            <w:pPr>
              <w:spacing w:line="276" w:lineRule="auto"/>
              <w:jc w:val="both"/>
              <w:rPr>
                <w:rFonts w:ascii="Times New Roman" w:hAnsi="Times New Roman" w:cs="Times New Roman"/>
                <w:color w:val="000000" w:themeColor="text1"/>
                <w:sz w:val="24"/>
                <w:szCs w:val="24"/>
              </w:rPr>
            </w:pPr>
          </w:p>
          <w:p w14:paraId="3401CECE" w14:textId="77777777" w:rsidR="00D54AAE" w:rsidRPr="006B31C8" w:rsidRDefault="006B31C8">
            <w:pPr>
              <w:spacing w:line="276" w:lineRule="auto"/>
              <w:jc w:val="both"/>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Languages of instruction</w:t>
            </w:r>
          </w:p>
          <w:p w14:paraId="446775A6" w14:textId="77777777" w:rsidR="00D54AAE" w:rsidRPr="006B31C8" w:rsidRDefault="006B31C8">
            <w:pPr>
              <w:spacing w:line="276" w:lineRule="auto"/>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Polish</w:t>
            </w:r>
          </w:p>
          <w:p w14:paraId="50193FB7" w14:textId="77777777" w:rsidR="00D54AAE" w:rsidRPr="006B31C8" w:rsidRDefault="00D54AAE">
            <w:pPr>
              <w:spacing w:line="276" w:lineRule="auto"/>
              <w:jc w:val="both"/>
              <w:rPr>
                <w:rFonts w:ascii="Times New Roman" w:hAnsi="Times New Roman" w:cs="Times New Roman"/>
                <w:color w:val="000000" w:themeColor="text1"/>
                <w:sz w:val="24"/>
                <w:szCs w:val="24"/>
              </w:rPr>
            </w:pPr>
          </w:p>
          <w:p w14:paraId="73AE2439" w14:textId="77777777" w:rsidR="00D54AAE" w:rsidRPr="006B31C8" w:rsidRDefault="006B31C8">
            <w:pPr>
              <w:spacing w:line="276" w:lineRule="auto"/>
              <w:jc w:val="both"/>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Obligatory</w:t>
            </w:r>
          </w:p>
          <w:p w14:paraId="7AB08940" w14:textId="77777777" w:rsidR="00D54AAE" w:rsidRPr="006B31C8" w:rsidRDefault="006B31C8">
            <w:pPr>
              <w:spacing w:line="276" w:lineRule="auto"/>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Optional</w:t>
            </w:r>
          </w:p>
        </w:tc>
      </w:tr>
      <w:tr w:rsidR="006B31C8" w:rsidRPr="006B31C8" w14:paraId="280CA5B1" w14:textId="77777777">
        <w:tc>
          <w:tcPr>
            <w:tcW w:w="2263" w:type="dxa"/>
            <w:vAlign w:val="center"/>
          </w:tcPr>
          <w:p w14:paraId="413A8734" w14:textId="3F2C03D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Class Coordinator</w:t>
            </w:r>
          </w:p>
        </w:tc>
        <w:tc>
          <w:tcPr>
            <w:tcW w:w="6799" w:type="dxa"/>
            <w:gridSpan w:val="2"/>
            <w:vAlign w:val="center"/>
          </w:tcPr>
          <w:p w14:paraId="7D61B293" w14:textId="77777777" w:rsidR="00D54AAE" w:rsidRPr="006B31C8" w:rsidRDefault="006B31C8">
            <w:pPr>
              <w:spacing w:line="276" w:lineRule="auto"/>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Grzegorz Krawiec, PhD</w:t>
            </w:r>
          </w:p>
        </w:tc>
      </w:tr>
      <w:tr w:rsidR="00D54AAE" w:rsidRPr="006B31C8" w14:paraId="5920E792" w14:textId="77777777">
        <w:tc>
          <w:tcPr>
            <w:tcW w:w="2263" w:type="dxa"/>
            <w:vAlign w:val="center"/>
          </w:tcPr>
          <w:p w14:paraId="32D4A9F5" w14:textId="169C34A3" w:rsidR="00D54AAE" w:rsidRPr="006B31C8" w:rsidRDefault="006B31C8">
            <w:pPr>
              <w:jc w:val="both"/>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Instructors</w:t>
            </w:r>
          </w:p>
        </w:tc>
        <w:tc>
          <w:tcPr>
            <w:tcW w:w="6799" w:type="dxa"/>
            <w:gridSpan w:val="2"/>
            <w:vAlign w:val="center"/>
          </w:tcPr>
          <w:p w14:paraId="2388FB64" w14:textId="77777777" w:rsidR="00D54AAE" w:rsidRPr="006B31C8" w:rsidRDefault="006B31C8">
            <w:pPr>
              <w:spacing w:line="276" w:lineRule="auto"/>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Grzegorz Krawiec, PhD</w:t>
            </w:r>
          </w:p>
        </w:tc>
      </w:tr>
    </w:tbl>
    <w:p w14:paraId="5E60A760" w14:textId="77777777" w:rsidR="00D54AAE" w:rsidRDefault="00D54AAE">
      <w:pPr>
        <w:jc w:val="center"/>
        <w:rPr>
          <w:rFonts w:ascii="Times New Roman" w:hAnsi="Times New Roman" w:cs="Times New Roman"/>
          <w:color w:val="000000" w:themeColor="text1"/>
          <w:sz w:val="24"/>
          <w:szCs w:val="24"/>
        </w:rPr>
      </w:pPr>
    </w:p>
    <w:p w14:paraId="5A21E3D3" w14:textId="77777777" w:rsidR="00C22FF9" w:rsidRPr="006B31C8" w:rsidRDefault="00C22FF9">
      <w:pPr>
        <w:jc w:val="center"/>
        <w:rPr>
          <w:rFonts w:ascii="Times New Roman" w:hAnsi="Times New Roman" w:cs="Times New Roman"/>
          <w:color w:val="000000" w:themeColor="text1"/>
          <w:sz w:val="24"/>
          <w:szCs w:val="24"/>
        </w:rPr>
      </w:pPr>
    </w:p>
    <w:tbl>
      <w:tblPr>
        <w:tblStyle w:val="Siatkatabeli"/>
        <w:tblW w:w="9062" w:type="dxa"/>
        <w:tblLook w:val="04A0" w:firstRow="1" w:lastRow="0" w:firstColumn="1" w:lastColumn="0" w:noHBand="0" w:noVBand="1"/>
      </w:tblPr>
      <w:tblGrid>
        <w:gridCol w:w="2263"/>
        <w:gridCol w:w="4395"/>
        <w:gridCol w:w="2404"/>
      </w:tblGrid>
      <w:tr w:rsidR="00D54AAE" w:rsidRPr="006B31C8" w14:paraId="018E0E50" w14:textId="77777777">
        <w:tc>
          <w:tcPr>
            <w:tcW w:w="2263" w:type="dxa"/>
          </w:tcPr>
          <w:p w14:paraId="3D01F7D3" w14:textId="77777777" w:rsidR="00D54AAE" w:rsidRPr="006B31C8" w:rsidRDefault="006B31C8">
            <w:pPr>
              <w:spacing w:line="276" w:lineRule="auto"/>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lastRenderedPageBreak/>
              <w:t>Period</w:t>
            </w:r>
          </w:p>
          <w:p w14:paraId="0F8D2D5A" w14:textId="77777777" w:rsidR="00D54AAE" w:rsidRPr="006B31C8" w:rsidRDefault="006B31C8">
            <w:pPr>
              <w:spacing w:line="276" w:lineRule="auto"/>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Semester 4</w:t>
            </w:r>
          </w:p>
        </w:tc>
        <w:tc>
          <w:tcPr>
            <w:tcW w:w="4395" w:type="dxa"/>
          </w:tcPr>
          <w:p w14:paraId="3611850D" w14:textId="714BF97C" w:rsidR="00D54AAE" w:rsidRPr="000F0FDD" w:rsidRDefault="006B31C8">
            <w:pPr>
              <w:spacing w:line="276" w:lineRule="auto"/>
              <w:rPr>
                <w:rFonts w:ascii="Times New Roman" w:hAnsi="Times New Roman" w:cs="Times New Roman"/>
                <w:color w:val="000000" w:themeColor="text1"/>
                <w:sz w:val="24"/>
                <w:szCs w:val="24"/>
                <w:lang w:val="en-US"/>
              </w:rPr>
            </w:pPr>
            <w:r w:rsidRPr="000F0FDD">
              <w:rPr>
                <w:rFonts w:ascii="Times New Roman" w:hAnsi="Times New Roman" w:cs="Times New Roman"/>
                <w:b/>
                <w:color w:val="000000" w:themeColor="text1"/>
                <w:sz w:val="24"/>
                <w:szCs w:val="24"/>
                <w:lang w:val="en-US"/>
              </w:rPr>
              <w:t>Form of classes/ number of hours/ form of credit</w:t>
            </w:r>
            <w:r w:rsidRPr="000F0FDD">
              <w:rPr>
                <w:rFonts w:ascii="Times New Roman" w:hAnsi="Times New Roman" w:cs="Times New Roman"/>
                <w:color w:val="000000" w:themeColor="text1"/>
                <w:sz w:val="24"/>
                <w:szCs w:val="24"/>
                <w:lang w:val="en-US"/>
              </w:rPr>
              <w:br/>
            </w:r>
            <w:r w:rsidR="00E27480" w:rsidRPr="000F0FDD">
              <w:rPr>
                <w:rFonts w:ascii="Times New Roman" w:hAnsi="Times New Roman" w:cs="Times New Roman"/>
                <w:color w:val="000000" w:themeColor="text1"/>
                <w:sz w:val="24"/>
                <w:szCs w:val="24"/>
                <w:lang w:val="en-US"/>
              </w:rPr>
              <w:t>Exercises/ 15/ credit - stationary</w:t>
            </w:r>
            <w:r w:rsidRPr="000F0FDD">
              <w:rPr>
                <w:rFonts w:ascii="Times New Roman" w:hAnsi="Times New Roman" w:cs="Times New Roman"/>
                <w:color w:val="000000" w:themeColor="text1"/>
                <w:sz w:val="24"/>
                <w:szCs w:val="24"/>
                <w:lang w:val="en-US"/>
              </w:rPr>
              <w:br/>
            </w:r>
            <w:r w:rsidR="00E27480" w:rsidRPr="000F0FDD">
              <w:rPr>
                <w:rFonts w:ascii="Times New Roman" w:hAnsi="Times New Roman" w:cs="Times New Roman"/>
                <w:color w:val="000000" w:themeColor="text1"/>
                <w:sz w:val="24"/>
                <w:szCs w:val="24"/>
                <w:lang w:val="en-US"/>
              </w:rPr>
              <w:t>Classes / 8/ Credit - part-time</w:t>
            </w:r>
          </w:p>
        </w:tc>
        <w:tc>
          <w:tcPr>
            <w:tcW w:w="2404" w:type="dxa"/>
          </w:tcPr>
          <w:p w14:paraId="592A15C5" w14:textId="77777777" w:rsidR="00D54AAE" w:rsidRPr="006B31C8" w:rsidRDefault="006B31C8">
            <w:pPr>
              <w:spacing w:line="276" w:lineRule="auto"/>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Number of ECTS credits</w:t>
            </w:r>
          </w:p>
          <w:p w14:paraId="3E91FC6F" w14:textId="0AAF0814" w:rsidR="00D54AAE" w:rsidRPr="006B31C8" w:rsidRDefault="00E27480">
            <w:pPr>
              <w:spacing w:line="276" w:lineRule="auto"/>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2</w:t>
            </w:r>
          </w:p>
        </w:tc>
      </w:tr>
    </w:tbl>
    <w:p w14:paraId="2643E2E3" w14:textId="77777777" w:rsidR="00D54AAE" w:rsidRPr="006B31C8" w:rsidRDefault="00D54AAE" w:rsidP="006B31C8">
      <w:pPr>
        <w:rPr>
          <w:rFonts w:ascii="Times New Roman" w:hAnsi="Times New Roman" w:cs="Times New Roman"/>
          <w:color w:val="000000" w:themeColor="text1"/>
          <w:sz w:val="24"/>
          <w:szCs w:val="24"/>
        </w:rPr>
      </w:pPr>
    </w:p>
    <w:p w14:paraId="1563F084"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Learning Objectives for Coursework</w:t>
      </w:r>
    </w:p>
    <w:tbl>
      <w:tblPr>
        <w:tblStyle w:val="Siatkatabeli"/>
        <w:tblW w:w="9062" w:type="dxa"/>
        <w:tblLook w:val="04A0" w:firstRow="1" w:lastRow="0" w:firstColumn="1" w:lastColumn="0" w:noHBand="0" w:noVBand="1"/>
      </w:tblPr>
      <w:tblGrid>
        <w:gridCol w:w="988"/>
        <w:gridCol w:w="8074"/>
      </w:tblGrid>
      <w:tr w:rsidR="006B31C8" w:rsidRPr="006B31C8" w14:paraId="54677009" w14:textId="77777777">
        <w:tc>
          <w:tcPr>
            <w:tcW w:w="988" w:type="dxa"/>
            <w:vAlign w:val="center"/>
          </w:tcPr>
          <w:p w14:paraId="360EA775"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Code</w:t>
            </w:r>
          </w:p>
        </w:tc>
        <w:tc>
          <w:tcPr>
            <w:tcW w:w="8074" w:type="dxa"/>
            <w:vAlign w:val="center"/>
          </w:tcPr>
          <w:p w14:paraId="6B3B137C"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Purpose</w:t>
            </w:r>
          </w:p>
        </w:tc>
      </w:tr>
      <w:tr w:rsidR="006B31C8" w:rsidRPr="000F0FDD" w14:paraId="246D97CD" w14:textId="77777777">
        <w:tc>
          <w:tcPr>
            <w:tcW w:w="988" w:type="dxa"/>
            <w:vAlign w:val="center"/>
          </w:tcPr>
          <w:p w14:paraId="1F41EA01"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C1</w:t>
            </w:r>
          </w:p>
        </w:tc>
        <w:tc>
          <w:tcPr>
            <w:tcW w:w="8074" w:type="dxa"/>
          </w:tcPr>
          <w:p w14:paraId="3EBAEEF2" w14:textId="77777777" w:rsidR="00D54AAE" w:rsidRPr="000F0FDD" w:rsidRDefault="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An analysis of the historical aspects of Assyrian culture and their impact on modern civilization.</w:t>
            </w:r>
          </w:p>
        </w:tc>
      </w:tr>
      <w:tr w:rsidR="006B31C8" w:rsidRPr="000F0FDD" w14:paraId="2DEBD152" w14:textId="77777777">
        <w:tc>
          <w:tcPr>
            <w:tcW w:w="988" w:type="dxa"/>
            <w:vAlign w:val="center"/>
          </w:tcPr>
          <w:p w14:paraId="1B655DCE"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C2</w:t>
            </w:r>
          </w:p>
        </w:tc>
        <w:tc>
          <w:tcPr>
            <w:tcW w:w="8074" w:type="dxa"/>
          </w:tcPr>
          <w:p w14:paraId="1ACC6282" w14:textId="77777777" w:rsidR="00D54AAE" w:rsidRPr="000F0FDD" w:rsidRDefault="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Understanding cross-cultural interactions through 5500 years of Assyrian history.</w:t>
            </w:r>
          </w:p>
        </w:tc>
      </w:tr>
      <w:tr w:rsidR="006B31C8" w:rsidRPr="000F0FDD" w14:paraId="4838CE6F" w14:textId="77777777">
        <w:tc>
          <w:tcPr>
            <w:tcW w:w="988" w:type="dxa"/>
            <w:vAlign w:val="center"/>
          </w:tcPr>
          <w:p w14:paraId="4ACA0431"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C3</w:t>
            </w:r>
          </w:p>
        </w:tc>
        <w:tc>
          <w:tcPr>
            <w:tcW w:w="8074" w:type="dxa"/>
          </w:tcPr>
          <w:p w14:paraId="430F97A1" w14:textId="77777777" w:rsidR="00D54AAE" w:rsidRPr="000F0FDD" w:rsidRDefault="006B31C8">
            <w:pPr>
              <w:pStyle w:val="Podpunkty"/>
              <w:spacing w:before="40" w:after="40"/>
              <w:ind w:left="0"/>
              <w:jc w:val="left"/>
              <w:rPr>
                <w:b w:val="0"/>
                <w:color w:val="000000" w:themeColor="text1"/>
                <w:sz w:val="24"/>
                <w:szCs w:val="24"/>
                <w:lang w:val="en-US" w:eastAsia="en-US"/>
              </w:rPr>
            </w:pPr>
            <w:r w:rsidRPr="000F0FDD">
              <w:rPr>
                <w:b w:val="0"/>
                <w:color w:val="000000" w:themeColor="text1"/>
                <w:sz w:val="24"/>
                <w:szCs w:val="24"/>
                <w:lang w:val="en-US" w:eastAsia="en-US"/>
              </w:rPr>
              <w:t>Translating the historical experience of the Assyrians into contemporary civilizational dilemmas.</w:t>
            </w:r>
          </w:p>
        </w:tc>
      </w:tr>
      <w:tr w:rsidR="006B31C8" w:rsidRPr="000F0FDD" w14:paraId="3AC23396" w14:textId="77777777">
        <w:tc>
          <w:tcPr>
            <w:tcW w:w="988" w:type="dxa"/>
            <w:vAlign w:val="center"/>
          </w:tcPr>
          <w:p w14:paraId="46545516"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C4</w:t>
            </w:r>
          </w:p>
        </w:tc>
        <w:tc>
          <w:tcPr>
            <w:tcW w:w="8074" w:type="dxa"/>
          </w:tcPr>
          <w:p w14:paraId="2C5101E3" w14:textId="77777777" w:rsidR="00D54AAE" w:rsidRPr="000F0FDD" w:rsidRDefault="006B31C8">
            <w:pPr>
              <w:pStyle w:val="Podpunkty"/>
              <w:spacing w:before="40" w:after="40"/>
              <w:ind w:left="0"/>
              <w:jc w:val="left"/>
              <w:rPr>
                <w:b w:val="0"/>
                <w:color w:val="000000" w:themeColor="text1"/>
                <w:sz w:val="24"/>
                <w:szCs w:val="24"/>
                <w:lang w:val="en-US"/>
              </w:rPr>
            </w:pPr>
            <w:r w:rsidRPr="000F0FDD">
              <w:rPr>
                <w:b w:val="0"/>
                <w:color w:val="000000" w:themeColor="text1"/>
                <w:sz w:val="24"/>
                <w:szCs w:val="24"/>
                <w:lang w:val="en-US"/>
              </w:rPr>
              <w:t>An analysis of the effects of intercultural interactions of Assyrians from the perspective of contemporary challenges.</w:t>
            </w:r>
          </w:p>
        </w:tc>
      </w:tr>
      <w:tr w:rsidR="006B31C8" w:rsidRPr="000F0FDD" w14:paraId="6FE30F3C" w14:textId="77777777">
        <w:tc>
          <w:tcPr>
            <w:tcW w:w="988" w:type="dxa"/>
            <w:vAlign w:val="center"/>
          </w:tcPr>
          <w:p w14:paraId="4741DE54"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C5</w:t>
            </w:r>
          </w:p>
        </w:tc>
        <w:tc>
          <w:tcPr>
            <w:tcW w:w="8074" w:type="dxa"/>
          </w:tcPr>
          <w:p w14:paraId="44FB1861" w14:textId="77777777" w:rsidR="00D54AAE" w:rsidRPr="000F0FDD" w:rsidRDefault="006B31C8">
            <w:pPr>
              <w:pStyle w:val="Podpunkty"/>
              <w:spacing w:before="40" w:after="40"/>
              <w:ind w:left="0"/>
              <w:jc w:val="left"/>
              <w:rPr>
                <w:b w:val="0"/>
                <w:color w:val="000000" w:themeColor="text1"/>
                <w:sz w:val="24"/>
                <w:szCs w:val="24"/>
                <w:lang w:val="en-US"/>
              </w:rPr>
            </w:pPr>
            <w:r w:rsidRPr="000F0FDD">
              <w:rPr>
                <w:b w:val="0"/>
                <w:color w:val="000000" w:themeColor="text1"/>
                <w:sz w:val="24"/>
                <w:szCs w:val="24"/>
                <w:lang w:val="en-US"/>
              </w:rPr>
              <w:t>Applying the conclusions from the history of the Assyrians to the analysis of the situation in Poland.</w:t>
            </w:r>
          </w:p>
        </w:tc>
      </w:tr>
    </w:tbl>
    <w:p w14:paraId="17C7268A" w14:textId="77777777" w:rsidR="006B31C8" w:rsidRPr="000F0FDD" w:rsidRDefault="006B31C8">
      <w:pPr>
        <w:jc w:val="center"/>
        <w:rPr>
          <w:rFonts w:ascii="Times New Roman" w:hAnsi="Times New Roman" w:cs="Times New Roman"/>
          <w:b/>
          <w:color w:val="000000" w:themeColor="text1"/>
          <w:sz w:val="24"/>
          <w:szCs w:val="24"/>
          <w:lang w:val="en-US"/>
        </w:rPr>
      </w:pPr>
    </w:p>
    <w:p w14:paraId="74CC745E" w14:textId="77E7EEF5" w:rsidR="00D54AAE" w:rsidRPr="000F0FDD" w:rsidRDefault="006B31C8">
      <w:pPr>
        <w:jc w:val="center"/>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Prerequisites</w:t>
      </w:r>
    </w:p>
    <w:p w14:paraId="629938DA" w14:textId="77777777" w:rsidR="00D54AAE" w:rsidRPr="000F0FDD" w:rsidRDefault="006B31C8">
      <w:pPr>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General knowledge at the high school level. No specific requirements, general knowledge of the humanities recommended.</w:t>
      </w:r>
    </w:p>
    <w:p w14:paraId="2B26E308"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Learning outcomes for classes</w:t>
      </w:r>
    </w:p>
    <w:tbl>
      <w:tblPr>
        <w:tblStyle w:val="Siatkatabeli"/>
        <w:tblW w:w="9062" w:type="dxa"/>
        <w:tblLook w:val="04A0" w:firstRow="1" w:lastRow="0" w:firstColumn="1" w:lastColumn="0" w:noHBand="0" w:noVBand="1"/>
      </w:tblPr>
      <w:tblGrid>
        <w:gridCol w:w="750"/>
        <w:gridCol w:w="3982"/>
        <w:gridCol w:w="2105"/>
        <w:gridCol w:w="2225"/>
      </w:tblGrid>
      <w:tr w:rsidR="006B31C8" w:rsidRPr="000F0FDD" w14:paraId="7FBC1AD9" w14:textId="77777777">
        <w:tc>
          <w:tcPr>
            <w:tcW w:w="620" w:type="dxa"/>
            <w:vAlign w:val="center"/>
          </w:tcPr>
          <w:p w14:paraId="0DE06999"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Code</w:t>
            </w:r>
          </w:p>
        </w:tc>
        <w:tc>
          <w:tcPr>
            <w:tcW w:w="4053" w:type="dxa"/>
            <w:vAlign w:val="center"/>
          </w:tcPr>
          <w:p w14:paraId="753FD531" w14:textId="77777777" w:rsidR="00D54AAE" w:rsidRPr="000F0FDD" w:rsidRDefault="006B31C8">
            <w:pPr>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2CE2A500" w14:textId="77777777" w:rsidR="00D54AAE" w:rsidRPr="000F0FDD" w:rsidRDefault="006B31C8">
            <w:pPr>
              <w:jc w:val="center"/>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Learning outcomes for the field of study</w:t>
            </w:r>
          </w:p>
        </w:tc>
        <w:tc>
          <w:tcPr>
            <w:tcW w:w="2255" w:type="dxa"/>
            <w:vAlign w:val="center"/>
          </w:tcPr>
          <w:p w14:paraId="0DE0AF92" w14:textId="77777777" w:rsidR="00D54AAE" w:rsidRPr="000F0FDD" w:rsidRDefault="006B31C8">
            <w:pPr>
              <w:jc w:val="center"/>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Methods of verifying the achievement of learning outcomes for classes</w:t>
            </w:r>
          </w:p>
        </w:tc>
      </w:tr>
      <w:tr w:rsidR="006B31C8" w:rsidRPr="006B31C8" w14:paraId="4CBC2011" w14:textId="77777777">
        <w:tc>
          <w:tcPr>
            <w:tcW w:w="9062" w:type="dxa"/>
            <w:gridSpan w:val="4"/>
            <w:vAlign w:val="center"/>
          </w:tcPr>
          <w:p w14:paraId="6E5EFA7B"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Knowledge – Student:</w:t>
            </w:r>
          </w:p>
        </w:tc>
      </w:tr>
      <w:tr w:rsidR="006B31C8" w:rsidRPr="006B31C8" w14:paraId="0C3F1982" w14:textId="77777777">
        <w:tc>
          <w:tcPr>
            <w:tcW w:w="620" w:type="dxa"/>
            <w:vAlign w:val="center"/>
          </w:tcPr>
          <w:p w14:paraId="68270EDB"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W1</w:t>
            </w:r>
          </w:p>
        </w:tc>
        <w:tc>
          <w:tcPr>
            <w:tcW w:w="4053" w:type="dxa"/>
          </w:tcPr>
          <w:p w14:paraId="3D71C9DD" w14:textId="52D47072" w:rsidR="00D54AAE" w:rsidRPr="000F0FDD" w:rsidRDefault="00E27480">
            <w:pPr>
              <w:rPr>
                <w:rFonts w:ascii="Times New Roman" w:eastAsia="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Has advanced knowledge of the scientific discipline specified for the field of tourism and recreation and knows its connections with other scientific disciplines</w:t>
            </w:r>
          </w:p>
        </w:tc>
        <w:tc>
          <w:tcPr>
            <w:tcW w:w="2134" w:type="dxa"/>
            <w:vAlign w:val="center"/>
          </w:tcPr>
          <w:p w14:paraId="515A091D"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w:t>
            </w:r>
          </w:p>
        </w:tc>
        <w:tc>
          <w:tcPr>
            <w:tcW w:w="2255" w:type="dxa"/>
          </w:tcPr>
          <w:p w14:paraId="061C719C" w14:textId="77777777" w:rsidR="00D54AAE" w:rsidRPr="006B31C8" w:rsidRDefault="006B31C8">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Pass, Discussion</w:t>
            </w:r>
          </w:p>
        </w:tc>
      </w:tr>
      <w:tr w:rsidR="006B31C8" w:rsidRPr="006B31C8" w14:paraId="53814E9E" w14:textId="77777777">
        <w:tc>
          <w:tcPr>
            <w:tcW w:w="620" w:type="dxa"/>
            <w:vAlign w:val="center"/>
          </w:tcPr>
          <w:p w14:paraId="6BC24DAA"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W2</w:t>
            </w:r>
          </w:p>
        </w:tc>
        <w:tc>
          <w:tcPr>
            <w:tcW w:w="4053" w:type="dxa"/>
          </w:tcPr>
          <w:p w14:paraId="182A70DD" w14:textId="2B58F111" w:rsidR="00D54AAE" w:rsidRPr="000F0FDD" w:rsidRDefault="00E27480">
            <w:pPr>
              <w:rPr>
                <w:rFonts w:ascii="Times New Roman" w:eastAsia="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Has an advanced knowledge of cultural, architectural and artistic heritage and understands its value in the context of the identity of society</w:t>
            </w:r>
          </w:p>
        </w:tc>
        <w:tc>
          <w:tcPr>
            <w:tcW w:w="2134" w:type="dxa"/>
            <w:vAlign w:val="center"/>
          </w:tcPr>
          <w:p w14:paraId="2F389CBD"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K_W02</w:t>
            </w:r>
          </w:p>
        </w:tc>
        <w:tc>
          <w:tcPr>
            <w:tcW w:w="2255" w:type="dxa"/>
          </w:tcPr>
          <w:p w14:paraId="29E1B8F5" w14:textId="77777777" w:rsidR="00D54AAE" w:rsidRPr="006B31C8" w:rsidRDefault="006B31C8">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Pass, Discussion</w:t>
            </w:r>
          </w:p>
        </w:tc>
      </w:tr>
      <w:tr w:rsidR="006B31C8" w:rsidRPr="006B31C8" w14:paraId="5D6CD3E9" w14:textId="77777777">
        <w:tc>
          <w:tcPr>
            <w:tcW w:w="620" w:type="dxa"/>
            <w:vAlign w:val="center"/>
          </w:tcPr>
          <w:p w14:paraId="7BA4B074" w14:textId="1C12E209" w:rsidR="00E27480" w:rsidRPr="006B31C8" w:rsidRDefault="00E27480">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W3</w:t>
            </w:r>
          </w:p>
        </w:tc>
        <w:tc>
          <w:tcPr>
            <w:tcW w:w="4053" w:type="dxa"/>
          </w:tcPr>
          <w:p w14:paraId="781243E1" w14:textId="23D62963" w:rsidR="00E27480" w:rsidRPr="000F0FDD" w:rsidRDefault="00E27480">
            <w:pPr>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Has advanced knowledge of social relations in the intercultural aspect</w:t>
            </w:r>
          </w:p>
        </w:tc>
        <w:tc>
          <w:tcPr>
            <w:tcW w:w="2134" w:type="dxa"/>
            <w:vAlign w:val="center"/>
          </w:tcPr>
          <w:p w14:paraId="6FC304BF" w14:textId="38E0D19C" w:rsidR="00E27480" w:rsidRPr="006B31C8" w:rsidRDefault="00E27480">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tc>
        <w:tc>
          <w:tcPr>
            <w:tcW w:w="2255" w:type="dxa"/>
          </w:tcPr>
          <w:p w14:paraId="279A16E3" w14:textId="5E16775E" w:rsidR="00E27480" w:rsidRPr="006B31C8" w:rsidRDefault="006B31C8">
            <w:pPr>
              <w:jc w:val="both"/>
              <w:rPr>
                <w:rFonts w:ascii="Times New Roman" w:hAnsi="Times New Roman" w:cs="Times New Roman"/>
                <w:b/>
                <w:bCs/>
                <w:color w:val="000000" w:themeColor="text1"/>
                <w:sz w:val="24"/>
                <w:szCs w:val="24"/>
              </w:rPr>
            </w:pPr>
            <w:r w:rsidRPr="006B31C8">
              <w:rPr>
                <w:rFonts w:ascii="Times New Roman" w:hAnsi="Times New Roman" w:cs="Times New Roman"/>
                <w:color w:val="000000" w:themeColor="text1"/>
                <w:sz w:val="24"/>
                <w:szCs w:val="24"/>
              </w:rPr>
              <w:t>Pass, Discussion</w:t>
            </w:r>
          </w:p>
        </w:tc>
      </w:tr>
      <w:tr w:rsidR="006B31C8" w:rsidRPr="006B31C8" w14:paraId="458B439F" w14:textId="77777777">
        <w:tc>
          <w:tcPr>
            <w:tcW w:w="9062" w:type="dxa"/>
            <w:gridSpan w:val="4"/>
            <w:vAlign w:val="center"/>
          </w:tcPr>
          <w:p w14:paraId="14ACD59A"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Skills – Student:</w:t>
            </w:r>
          </w:p>
        </w:tc>
      </w:tr>
      <w:tr w:rsidR="006B31C8" w:rsidRPr="006B31C8" w14:paraId="722AD64E" w14:textId="77777777">
        <w:tc>
          <w:tcPr>
            <w:tcW w:w="620" w:type="dxa"/>
            <w:vAlign w:val="center"/>
          </w:tcPr>
          <w:p w14:paraId="0AAE10F8"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U1</w:t>
            </w:r>
          </w:p>
        </w:tc>
        <w:tc>
          <w:tcPr>
            <w:tcW w:w="4053" w:type="dxa"/>
          </w:tcPr>
          <w:p w14:paraId="52CDA447" w14:textId="227CEFB9" w:rsidR="00D54AAE" w:rsidRPr="000F0FDD" w:rsidRDefault="00E27480">
            <w:pPr>
              <w:rPr>
                <w:rFonts w:ascii="Times New Roman" w:eastAsia="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Can communicate with an individual and a social group on relevant issues in tourism and recreation</w:t>
            </w:r>
          </w:p>
        </w:tc>
        <w:tc>
          <w:tcPr>
            <w:tcW w:w="2134" w:type="dxa"/>
            <w:vAlign w:val="center"/>
          </w:tcPr>
          <w:p w14:paraId="36241BC0" w14:textId="0A921D5B"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tc>
        <w:tc>
          <w:tcPr>
            <w:tcW w:w="2255" w:type="dxa"/>
          </w:tcPr>
          <w:p w14:paraId="22495411" w14:textId="77777777" w:rsidR="00D54AAE" w:rsidRPr="006B31C8" w:rsidRDefault="006B31C8">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0AF074D9" w14:textId="77777777">
        <w:tc>
          <w:tcPr>
            <w:tcW w:w="9062" w:type="dxa"/>
            <w:gridSpan w:val="4"/>
            <w:vAlign w:val="center"/>
          </w:tcPr>
          <w:p w14:paraId="706C6F23"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Social Competences – Student:</w:t>
            </w:r>
          </w:p>
        </w:tc>
      </w:tr>
      <w:tr w:rsidR="006B31C8" w:rsidRPr="006B31C8" w14:paraId="4D990F3C" w14:textId="77777777">
        <w:tc>
          <w:tcPr>
            <w:tcW w:w="620" w:type="dxa"/>
            <w:vAlign w:val="center"/>
          </w:tcPr>
          <w:p w14:paraId="45BF684C"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lastRenderedPageBreak/>
              <w:t>K1</w:t>
            </w:r>
          </w:p>
        </w:tc>
        <w:tc>
          <w:tcPr>
            <w:tcW w:w="4053" w:type="dxa"/>
          </w:tcPr>
          <w:p w14:paraId="5B10FFAD" w14:textId="2B8CA440" w:rsidR="00D54AAE" w:rsidRPr="000F0FDD" w:rsidRDefault="00E27480">
            <w:pPr>
              <w:rPr>
                <w:rFonts w:ascii="Times New Roman" w:eastAsia="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Is ready for lifelong learning and improving his/her professional and personal competences</w:t>
            </w:r>
          </w:p>
        </w:tc>
        <w:tc>
          <w:tcPr>
            <w:tcW w:w="2134" w:type="dxa"/>
            <w:vAlign w:val="center"/>
          </w:tcPr>
          <w:p w14:paraId="362D8868"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w:t>
            </w:r>
          </w:p>
        </w:tc>
        <w:tc>
          <w:tcPr>
            <w:tcW w:w="2255" w:type="dxa"/>
          </w:tcPr>
          <w:p w14:paraId="0BD6E197" w14:textId="77777777" w:rsidR="00D54AAE" w:rsidRPr="006B31C8" w:rsidRDefault="006B31C8">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0E621B52" w14:textId="77777777">
        <w:tc>
          <w:tcPr>
            <w:tcW w:w="620" w:type="dxa"/>
            <w:vAlign w:val="center"/>
          </w:tcPr>
          <w:p w14:paraId="03EA3F2D"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K2</w:t>
            </w:r>
          </w:p>
        </w:tc>
        <w:tc>
          <w:tcPr>
            <w:tcW w:w="4053" w:type="dxa"/>
          </w:tcPr>
          <w:p w14:paraId="4C8654AC" w14:textId="47BC10FC" w:rsidR="00D54AAE" w:rsidRPr="000F0FDD" w:rsidRDefault="006B31C8">
            <w:pPr>
              <w:rPr>
                <w:rFonts w:ascii="Times New Roman" w:eastAsia="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Is ready to demonstrate and take responsibility for the preservation of cultural heritage</w:t>
            </w:r>
          </w:p>
        </w:tc>
        <w:tc>
          <w:tcPr>
            <w:tcW w:w="2134" w:type="dxa"/>
            <w:vAlign w:val="center"/>
          </w:tcPr>
          <w:p w14:paraId="586B3495" w14:textId="68FB4D34"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K_K10</w:t>
            </w:r>
          </w:p>
        </w:tc>
        <w:tc>
          <w:tcPr>
            <w:tcW w:w="2255" w:type="dxa"/>
          </w:tcPr>
          <w:p w14:paraId="23CD19C3" w14:textId="77777777" w:rsidR="00D54AAE" w:rsidRPr="006B31C8" w:rsidRDefault="006B31C8">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bl>
    <w:p w14:paraId="688A6A4F" w14:textId="77777777" w:rsidR="00E27480" w:rsidRPr="006B31C8" w:rsidRDefault="00E27480">
      <w:pPr>
        <w:jc w:val="center"/>
        <w:rPr>
          <w:rFonts w:ascii="Times New Roman" w:hAnsi="Times New Roman" w:cs="Times New Roman"/>
          <w:b/>
          <w:color w:val="000000" w:themeColor="text1"/>
          <w:sz w:val="24"/>
          <w:szCs w:val="24"/>
        </w:rPr>
      </w:pPr>
    </w:p>
    <w:p w14:paraId="3FA6333F" w14:textId="3AA8607D"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Curricular content for classes</w:t>
      </w:r>
    </w:p>
    <w:tbl>
      <w:tblPr>
        <w:tblStyle w:val="Siatkatabeli"/>
        <w:tblW w:w="9062" w:type="dxa"/>
        <w:tblLook w:val="04A0" w:firstRow="1" w:lastRow="0" w:firstColumn="1" w:lastColumn="0" w:noHBand="0" w:noVBand="1"/>
      </w:tblPr>
      <w:tblGrid>
        <w:gridCol w:w="570"/>
        <w:gridCol w:w="4390"/>
        <w:gridCol w:w="1983"/>
        <w:gridCol w:w="2119"/>
      </w:tblGrid>
      <w:tr w:rsidR="006B31C8" w:rsidRPr="006B31C8" w14:paraId="7C19598F" w14:textId="77777777" w:rsidTr="006B31C8">
        <w:tc>
          <w:tcPr>
            <w:tcW w:w="562" w:type="dxa"/>
          </w:tcPr>
          <w:p w14:paraId="6608D326"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Lp.</w:t>
            </w:r>
          </w:p>
        </w:tc>
        <w:tc>
          <w:tcPr>
            <w:tcW w:w="4395" w:type="dxa"/>
          </w:tcPr>
          <w:p w14:paraId="7B993BC8" w14:textId="77777777" w:rsidR="00D54AAE" w:rsidRPr="006B31C8" w:rsidRDefault="006B31C8" w:rsidP="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Curricular content for classes</w:t>
            </w:r>
          </w:p>
        </w:tc>
        <w:tc>
          <w:tcPr>
            <w:tcW w:w="1984" w:type="dxa"/>
          </w:tcPr>
          <w:p w14:paraId="409765D6" w14:textId="77777777" w:rsidR="00D54AAE" w:rsidRPr="006B31C8" w:rsidRDefault="006B31C8" w:rsidP="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Learning outcomes for classes</w:t>
            </w:r>
          </w:p>
        </w:tc>
        <w:tc>
          <w:tcPr>
            <w:tcW w:w="2121" w:type="dxa"/>
          </w:tcPr>
          <w:p w14:paraId="0B2A9817"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Forms of classes</w:t>
            </w:r>
          </w:p>
        </w:tc>
      </w:tr>
      <w:tr w:rsidR="006B31C8" w:rsidRPr="006B31C8" w14:paraId="607A849E" w14:textId="77777777" w:rsidTr="006B31C8">
        <w:tc>
          <w:tcPr>
            <w:tcW w:w="562" w:type="dxa"/>
          </w:tcPr>
          <w:p w14:paraId="738DAD6B"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1.</w:t>
            </w:r>
          </w:p>
        </w:tc>
        <w:tc>
          <w:tcPr>
            <w:tcW w:w="4395" w:type="dxa"/>
          </w:tcPr>
          <w:p w14:paraId="1D42E66C" w14:textId="77777777" w:rsidR="00D54AAE"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Introductory issues – intercultural interaction, mutual influences and conflicts, isolation and assimilation. Characteristics of the ancient Assyrian Empire as an example of cultural and political domination, imposition of one's own patterns by force, the beginnings of globalization, the first mass deportations</w:t>
            </w:r>
          </w:p>
        </w:tc>
        <w:tc>
          <w:tcPr>
            <w:tcW w:w="1984" w:type="dxa"/>
          </w:tcPr>
          <w:p w14:paraId="3763F252" w14:textId="282130C3" w:rsidR="00D54AAE"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105413A0" w14:textId="0EEB9A0D" w:rsidR="00D54AAE"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7C033489" w14:textId="0A0A655A" w:rsidR="00D54AAE"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663C3979" w14:textId="1035C272" w:rsidR="00D54AAE"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p w14:paraId="2F75C447" w14:textId="2638A5EC" w:rsidR="00D54AAE" w:rsidRPr="006B31C8" w:rsidRDefault="00D54AAE" w:rsidP="006B31C8">
            <w:pPr>
              <w:rPr>
                <w:rFonts w:ascii="Times New Roman" w:hAnsi="Times New Roman" w:cs="Times New Roman"/>
                <w:color w:val="000000" w:themeColor="text1"/>
                <w:sz w:val="24"/>
                <w:szCs w:val="24"/>
              </w:rPr>
            </w:pPr>
          </w:p>
        </w:tc>
        <w:tc>
          <w:tcPr>
            <w:tcW w:w="2121" w:type="dxa"/>
          </w:tcPr>
          <w:p w14:paraId="36B10702" w14:textId="77777777" w:rsid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53F7B228" w14:textId="1EEE4A9C"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12D6F5E6" w14:textId="77777777" w:rsidTr="006B31C8">
        <w:tc>
          <w:tcPr>
            <w:tcW w:w="562" w:type="dxa"/>
          </w:tcPr>
          <w:p w14:paraId="573E844D"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2.</w:t>
            </w:r>
          </w:p>
        </w:tc>
        <w:tc>
          <w:tcPr>
            <w:tcW w:w="4395" w:type="dxa"/>
          </w:tcPr>
          <w:p w14:paraId="14667530"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Characteristics of a dominant culture in an authoritarian state. Aramaic as a lingua franca, the development of the economy, literature, science, and the arts in the Assyrian Empire</w:t>
            </w:r>
          </w:p>
        </w:tc>
        <w:tc>
          <w:tcPr>
            <w:tcW w:w="1984" w:type="dxa"/>
          </w:tcPr>
          <w:p w14:paraId="779F67C5"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395CDF9C"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3AFB4501"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4759B84B" w14:textId="5AFF55C9"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tc>
        <w:tc>
          <w:tcPr>
            <w:tcW w:w="2121" w:type="dxa"/>
          </w:tcPr>
          <w:p w14:paraId="3CBCF01C"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57FFFE98" w14:textId="4066A461"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55F83BD3" w14:textId="77777777" w:rsidTr="006B31C8">
        <w:tc>
          <w:tcPr>
            <w:tcW w:w="562" w:type="dxa"/>
          </w:tcPr>
          <w:p w14:paraId="5BA42283"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3.</w:t>
            </w:r>
          </w:p>
        </w:tc>
        <w:tc>
          <w:tcPr>
            <w:tcW w:w="4395" w:type="dxa"/>
          </w:tcPr>
          <w:p w14:paraId="42CCF101"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Maintaining Cultural Dominance After Loss of Statehood: Assyrians and Aramaic in Successive Empires (Babylonian, Persian, and Greek)</w:t>
            </w:r>
          </w:p>
        </w:tc>
        <w:tc>
          <w:tcPr>
            <w:tcW w:w="1984" w:type="dxa"/>
          </w:tcPr>
          <w:p w14:paraId="65EC1B6F"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2DE55C8C"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531C3DED"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2EC4741F" w14:textId="63B96908"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tc>
        <w:tc>
          <w:tcPr>
            <w:tcW w:w="2121" w:type="dxa"/>
          </w:tcPr>
          <w:p w14:paraId="34F3D7BF"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41A79B29" w14:textId="375437F7"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2173BDD1" w14:textId="77777777" w:rsidTr="006B31C8">
        <w:tc>
          <w:tcPr>
            <w:tcW w:w="562" w:type="dxa"/>
          </w:tcPr>
          <w:p w14:paraId="2F1BF5E1"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4.</w:t>
            </w:r>
          </w:p>
        </w:tc>
        <w:tc>
          <w:tcPr>
            <w:tcW w:w="4395" w:type="dxa"/>
          </w:tcPr>
          <w:p w14:paraId="5EB4859D"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A new aspect of domination related to the adoption and development of Christianity in the East: respect for other cultures and languages, active cultural and linguistic exchange, rapid development of science and literature, spiritual leadership and avoidance of political activity</w:t>
            </w:r>
          </w:p>
        </w:tc>
        <w:tc>
          <w:tcPr>
            <w:tcW w:w="1984" w:type="dxa"/>
          </w:tcPr>
          <w:p w14:paraId="6B3036A4"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33AD1502"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120BC911"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692D54C2"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p w14:paraId="7202BF79" w14:textId="4DF5D66F" w:rsidR="006B31C8" w:rsidRPr="006B31C8" w:rsidRDefault="006B31C8" w:rsidP="006B31C8">
            <w:pPr>
              <w:rPr>
                <w:rFonts w:ascii="Times New Roman" w:hAnsi="Times New Roman" w:cs="Times New Roman"/>
                <w:color w:val="000000" w:themeColor="text1"/>
                <w:sz w:val="24"/>
                <w:szCs w:val="24"/>
              </w:rPr>
            </w:pPr>
          </w:p>
        </w:tc>
        <w:tc>
          <w:tcPr>
            <w:tcW w:w="2121" w:type="dxa"/>
          </w:tcPr>
          <w:p w14:paraId="2214D4B6"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6E788ADA" w14:textId="09A88C23"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20BF7FC2" w14:textId="77777777" w:rsidTr="006B31C8">
        <w:tc>
          <w:tcPr>
            <w:tcW w:w="562" w:type="dxa"/>
          </w:tcPr>
          <w:p w14:paraId="7045AEB3"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5.</w:t>
            </w:r>
          </w:p>
        </w:tc>
        <w:tc>
          <w:tcPr>
            <w:tcW w:w="4395" w:type="dxa"/>
          </w:tcPr>
          <w:p w14:paraId="3C4BF693"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Unity within the nation and cultural issues on the example of the Assyrians: Division over theological controversies and healthy competition of rival Assyrian Churches, conflict with Byzantine imperial authority and fruitful intellectual, spiritual and scientific exchange with Egypt, missionary activity in Asia taking into account the cultural peculiarities of different regions and countries, contribution to the cultural and scientific development of the Orient</w:t>
            </w:r>
          </w:p>
        </w:tc>
        <w:tc>
          <w:tcPr>
            <w:tcW w:w="1984" w:type="dxa"/>
          </w:tcPr>
          <w:p w14:paraId="6ECAAD7C"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706E6674"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565D6C72"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59163870"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p w14:paraId="1577E389" w14:textId="0B19908A" w:rsidR="006B31C8" w:rsidRPr="006B31C8" w:rsidRDefault="006B31C8" w:rsidP="006B31C8">
            <w:pPr>
              <w:rPr>
                <w:rFonts w:ascii="Times New Roman" w:hAnsi="Times New Roman" w:cs="Times New Roman"/>
                <w:color w:val="000000" w:themeColor="text1"/>
                <w:sz w:val="24"/>
                <w:szCs w:val="24"/>
              </w:rPr>
            </w:pPr>
          </w:p>
        </w:tc>
        <w:tc>
          <w:tcPr>
            <w:tcW w:w="2121" w:type="dxa"/>
          </w:tcPr>
          <w:p w14:paraId="39E19AD6"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3360B9AA" w14:textId="14311439"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79B92B39" w14:textId="77777777" w:rsidTr="006B31C8">
        <w:tc>
          <w:tcPr>
            <w:tcW w:w="562" w:type="dxa"/>
          </w:tcPr>
          <w:p w14:paraId="6D94F683"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6.</w:t>
            </w:r>
          </w:p>
        </w:tc>
        <w:tc>
          <w:tcPr>
            <w:tcW w:w="4395" w:type="dxa"/>
          </w:tcPr>
          <w:p w14:paraId="06C1F2E9"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Preserving Identity in the Face of Foreign Cultural Imposition: The Assyrians After the Muslim Invasion, Playing a Key Role in the Golden Age of the Arab Caliphate</w:t>
            </w:r>
          </w:p>
        </w:tc>
        <w:tc>
          <w:tcPr>
            <w:tcW w:w="1984" w:type="dxa"/>
          </w:tcPr>
          <w:p w14:paraId="01134CAB"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5C70FF8E"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7608D6B5"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12E6E585" w14:textId="108ADFDB"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tc>
        <w:tc>
          <w:tcPr>
            <w:tcW w:w="2121" w:type="dxa"/>
          </w:tcPr>
          <w:p w14:paraId="098F8CCF"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3EFFE320" w14:textId="1EFDCC33"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31ADF955" w14:textId="77777777" w:rsidTr="006B31C8">
        <w:tc>
          <w:tcPr>
            <w:tcW w:w="562" w:type="dxa"/>
          </w:tcPr>
          <w:p w14:paraId="4FBC196D"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lastRenderedPageBreak/>
              <w:t>7.</w:t>
            </w:r>
          </w:p>
        </w:tc>
        <w:tc>
          <w:tcPr>
            <w:tcW w:w="4395" w:type="dxa"/>
          </w:tcPr>
          <w:p w14:paraId="7E283DD7"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Preserving Identity in the Face of the Threat of Extinction: The Mongol Invasion, Failed Attempts to Compromise with the New Rulers, Physical Extermination, and Struggle for Survival</w:t>
            </w:r>
          </w:p>
        </w:tc>
        <w:tc>
          <w:tcPr>
            <w:tcW w:w="1984" w:type="dxa"/>
          </w:tcPr>
          <w:p w14:paraId="0C79D45A"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38D425A3"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3DB4A6BF"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33DA6024" w14:textId="3ABA9440"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tc>
        <w:tc>
          <w:tcPr>
            <w:tcW w:w="2121" w:type="dxa"/>
          </w:tcPr>
          <w:p w14:paraId="66E54877"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5BA7066A" w14:textId="6319913A"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668FA71C" w14:textId="77777777" w:rsidTr="006B31C8">
        <w:tc>
          <w:tcPr>
            <w:tcW w:w="562" w:type="dxa"/>
          </w:tcPr>
          <w:p w14:paraId="7A431023"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8.</w:t>
            </w:r>
          </w:p>
        </w:tc>
        <w:tc>
          <w:tcPr>
            <w:tcW w:w="4395" w:type="dxa"/>
          </w:tcPr>
          <w:p w14:paraId="79CEFBE2"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To preserve their identity and to endure in conditions of severe confinement, to make a significant contribution to the development of their countries despite open discrimination and repeated violence</w:t>
            </w:r>
          </w:p>
        </w:tc>
        <w:tc>
          <w:tcPr>
            <w:tcW w:w="1984" w:type="dxa"/>
          </w:tcPr>
          <w:p w14:paraId="4B83D91F"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1C2D6509"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1489DDE4"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08124295"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p w14:paraId="5960984A" w14:textId="22D61DDD" w:rsidR="006B31C8" w:rsidRPr="006B31C8" w:rsidRDefault="006B31C8" w:rsidP="006B31C8">
            <w:pPr>
              <w:rPr>
                <w:rFonts w:ascii="Times New Roman" w:hAnsi="Times New Roman" w:cs="Times New Roman"/>
                <w:color w:val="000000" w:themeColor="text1"/>
                <w:sz w:val="24"/>
                <w:szCs w:val="24"/>
              </w:rPr>
            </w:pPr>
          </w:p>
        </w:tc>
        <w:tc>
          <w:tcPr>
            <w:tcW w:w="2121" w:type="dxa"/>
          </w:tcPr>
          <w:p w14:paraId="50B4E1A7"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69BF2F8A" w14:textId="0519FABD"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10DAA3BE" w14:textId="77777777" w:rsidTr="006B31C8">
        <w:tc>
          <w:tcPr>
            <w:tcW w:w="562" w:type="dxa"/>
          </w:tcPr>
          <w:p w14:paraId="300ABF2E"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9.</w:t>
            </w:r>
          </w:p>
        </w:tc>
        <w:tc>
          <w:tcPr>
            <w:tcW w:w="4395" w:type="dxa"/>
          </w:tcPr>
          <w:p w14:paraId="275511AB"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Political Engagement and Cultural Identity: Assyrian Entanglement in International Politics, Political Hopes Raised by the West and the Assyrian Holocaust in Turkey, Beginning of Emigration to the West (Europe, USA, Australia)</w:t>
            </w:r>
          </w:p>
        </w:tc>
        <w:tc>
          <w:tcPr>
            <w:tcW w:w="1984" w:type="dxa"/>
          </w:tcPr>
          <w:p w14:paraId="386A8F51"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6B08F9EE"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526901B1"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2172C23D"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p w14:paraId="10E57F93" w14:textId="3F90FDEF" w:rsidR="006B31C8" w:rsidRPr="006B31C8" w:rsidRDefault="006B31C8" w:rsidP="006B31C8">
            <w:pPr>
              <w:rPr>
                <w:rFonts w:ascii="Times New Roman" w:hAnsi="Times New Roman" w:cs="Times New Roman"/>
                <w:color w:val="000000" w:themeColor="text1"/>
                <w:sz w:val="24"/>
                <w:szCs w:val="24"/>
              </w:rPr>
            </w:pPr>
          </w:p>
        </w:tc>
        <w:tc>
          <w:tcPr>
            <w:tcW w:w="2121" w:type="dxa"/>
          </w:tcPr>
          <w:p w14:paraId="5D6F9F78"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4F5BD3D6" w14:textId="464197F6"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05C477C7" w14:textId="77777777" w:rsidTr="006B31C8">
        <w:tc>
          <w:tcPr>
            <w:tcW w:w="562" w:type="dxa"/>
          </w:tcPr>
          <w:p w14:paraId="2EC87230"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10.</w:t>
            </w:r>
          </w:p>
        </w:tc>
        <w:tc>
          <w:tcPr>
            <w:tcW w:w="4395" w:type="dxa"/>
          </w:tcPr>
          <w:p w14:paraId="5AD15DD3"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Preserving identity or integration – a difficult dilemma in the countries of refuge, examples of how to solve the dilemma and the ability to adopt cultural patterns while maintaining one's own values. Contemporary dilemmas and threats of Assyrians remaining in their homeland (Turkey, Iran, Iraq and Syria) and seeking refuge in other countries</w:t>
            </w:r>
          </w:p>
        </w:tc>
        <w:tc>
          <w:tcPr>
            <w:tcW w:w="1984" w:type="dxa"/>
          </w:tcPr>
          <w:p w14:paraId="6B1EC2B4"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16205B18"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72536A2D"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051D44FA"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p w14:paraId="643EF709" w14:textId="4A9256F5" w:rsidR="006B31C8" w:rsidRPr="006B31C8" w:rsidRDefault="006B31C8" w:rsidP="006B31C8">
            <w:pPr>
              <w:rPr>
                <w:rFonts w:ascii="Times New Roman" w:hAnsi="Times New Roman" w:cs="Times New Roman"/>
                <w:color w:val="000000" w:themeColor="text1"/>
                <w:sz w:val="24"/>
                <w:szCs w:val="24"/>
              </w:rPr>
            </w:pPr>
          </w:p>
        </w:tc>
        <w:tc>
          <w:tcPr>
            <w:tcW w:w="2121" w:type="dxa"/>
          </w:tcPr>
          <w:p w14:paraId="6E99B022"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5E97EF4E" w14:textId="1E45960A"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r w:rsidR="006B31C8" w:rsidRPr="006B31C8" w14:paraId="204DD204" w14:textId="77777777" w:rsidTr="006B31C8">
        <w:tc>
          <w:tcPr>
            <w:tcW w:w="562" w:type="dxa"/>
          </w:tcPr>
          <w:p w14:paraId="5D33CB1B" w14:textId="77777777" w:rsidR="006B31C8" w:rsidRPr="006B31C8" w:rsidRDefault="006B31C8" w:rsidP="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11.</w:t>
            </w:r>
          </w:p>
        </w:tc>
        <w:tc>
          <w:tcPr>
            <w:tcW w:w="4395" w:type="dxa"/>
          </w:tcPr>
          <w:p w14:paraId="2703C565" w14:textId="77777777" w:rsidR="006B31C8" w:rsidRPr="000F0FDD" w:rsidRDefault="006B31C8" w:rsidP="006B31C8">
            <w:pPr>
              <w:rPr>
                <w:rFonts w:ascii="Times New Roman" w:eastAsia="Times New Roman" w:hAnsi="Times New Roman" w:cs="Times New Roman"/>
                <w:color w:val="000000" w:themeColor="text1"/>
                <w:sz w:val="24"/>
                <w:szCs w:val="24"/>
                <w:lang w:val="en-US"/>
              </w:rPr>
            </w:pPr>
            <w:r w:rsidRPr="000F0FDD">
              <w:rPr>
                <w:rFonts w:ascii="Times New Roman" w:eastAsia="Times New Roman" w:hAnsi="Times New Roman" w:cs="Times New Roman"/>
                <w:color w:val="000000" w:themeColor="text1"/>
                <w:sz w:val="24"/>
                <w:szCs w:val="24"/>
                <w:lang w:val="en-US"/>
              </w:rPr>
              <w:t>Observations and conclusions resulting from the experience of the Assyrians, translating into the current situation in Poland and the clash of Poles with the incoming representatives of foreign cultures</w:t>
            </w:r>
          </w:p>
        </w:tc>
        <w:tc>
          <w:tcPr>
            <w:tcW w:w="1984" w:type="dxa"/>
          </w:tcPr>
          <w:p w14:paraId="46E77BDF"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K_W01; K_W02</w:t>
            </w:r>
          </w:p>
          <w:p w14:paraId="3987F619"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K_W05</w:t>
            </w:r>
          </w:p>
          <w:p w14:paraId="2FF8FFFD" w14:textId="77777777"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K_U01</w:t>
            </w:r>
          </w:p>
          <w:p w14:paraId="24B714C3" w14:textId="0B446D1F" w:rsidR="006B31C8" w:rsidRPr="006B31C8" w:rsidRDefault="006B31C8" w:rsidP="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K_K01; K_K10</w:t>
            </w:r>
          </w:p>
        </w:tc>
        <w:tc>
          <w:tcPr>
            <w:tcW w:w="2121" w:type="dxa"/>
          </w:tcPr>
          <w:p w14:paraId="3A92E75B" w14:textId="77777777" w:rsid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 xml:space="preserve">exercise/ </w:t>
            </w:r>
          </w:p>
          <w:p w14:paraId="1EA44DEA" w14:textId="1906F287" w:rsidR="006B31C8" w:rsidRPr="006B31C8" w:rsidRDefault="006B31C8" w:rsidP="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Discussion</w:t>
            </w:r>
          </w:p>
        </w:tc>
      </w:tr>
    </w:tbl>
    <w:p w14:paraId="647EAC48" w14:textId="77777777" w:rsidR="00D54AAE" w:rsidRPr="006B31C8" w:rsidRDefault="00D54AAE">
      <w:pPr>
        <w:jc w:val="center"/>
        <w:rPr>
          <w:rFonts w:ascii="Times New Roman" w:hAnsi="Times New Roman" w:cs="Times New Roman"/>
          <w:b/>
          <w:color w:val="000000" w:themeColor="text1"/>
          <w:sz w:val="24"/>
          <w:szCs w:val="24"/>
        </w:rPr>
      </w:pPr>
    </w:p>
    <w:p w14:paraId="6AA43546"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Additional information</w:t>
      </w:r>
    </w:p>
    <w:tbl>
      <w:tblPr>
        <w:tblStyle w:val="Siatkatabeli"/>
        <w:tblW w:w="9062" w:type="dxa"/>
        <w:tblLook w:val="04A0" w:firstRow="1" w:lastRow="0" w:firstColumn="1" w:lastColumn="0" w:noHBand="0" w:noVBand="1"/>
      </w:tblPr>
      <w:tblGrid>
        <w:gridCol w:w="1980"/>
        <w:gridCol w:w="7082"/>
      </w:tblGrid>
      <w:tr w:rsidR="006B31C8" w:rsidRPr="000F0FDD" w14:paraId="20370D2B" w14:textId="77777777">
        <w:tc>
          <w:tcPr>
            <w:tcW w:w="1980" w:type="dxa"/>
            <w:vAlign w:val="center"/>
          </w:tcPr>
          <w:p w14:paraId="389CA695"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Form of classes</w:t>
            </w:r>
          </w:p>
        </w:tc>
        <w:tc>
          <w:tcPr>
            <w:tcW w:w="7082" w:type="dxa"/>
            <w:vAlign w:val="center"/>
          </w:tcPr>
          <w:p w14:paraId="6CAF6809" w14:textId="77777777" w:rsidR="00D54AAE" w:rsidRPr="000F0FDD" w:rsidRDefault="006B31C8">
            <w:pPr>
              <w:jc w:val="center"/>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Conditions for passing the course</w:t>
            </w:r>
          </w:p>
        </w:tc>
      </w:tr>
      <w:tr w:rsidR="00D54AAE" w:rsidRPr="006B31C8" w14:paraId="5E87AE07" w14:textId="77777777">
        <w:tc>
          <w:tcPr>
            <w:tcW w:w="1980" w:type="dxa"/>
            <w:vAlign w:val="center"/>
          </w:tcPr>
          <w:p w14:paraId="7B00F3AC" w14:textId="77777777" w:rsidR="00D54AAE" w:rsidRPr="006B31C8" w:rsidRDefault="006B31C8">
            <w:pP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Lectures</w:t>
            </w:r>
          </w:p>
        </w:tc>
        <w:tc>
          <w:tcPr>
            <w:tcW w:w="7082" w:type="dxa"/>
            <w:vAlign w:val="center"/>
          </w:tcPr>
          <w:p w14:paraId="6E911181" w14:textId="77777777" w:rsidR="00D54AAE" w:rsidRPr="006B31C8" w:rsidRDefault="006B31C8">
            <w:pPr>
              <w:pStyle w:val="Akapitzlist"/>
              <w:numPr>
                <w:ilvl w:val="0"/>
                <w:numId w:val="1"/>
              </w:numPr>
              <w:ind w:left="173" w:hanging="218"/>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Class attendance</w:t>
            </w:r>
          </w:p>
          <w:p w14:paraId="4E59842A" w14:textId="77777777" w:rsidR="00D54AAE" w:rsidRPr="006B31C8" w:rsidRDefault="006B31C8">
            <w:pPr>
              <w:pStyle w:val="Akapitzlist"/>
              <w:numPr>
                <w:ilvl w:val="0"/>
                <w:numId w:val="1"/>
              </w:numPr>
              <w:ind w:left="173" w:hanging="218"/>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Active participation in classes</w:t>
            </w:r>
          </w:p>
          <w:p w14:paraId="5B30144D" w14:textId="77777777" w:rsidR="00D54AAE" w:rsidRPr="006B31C8" w:rsidRDefault="006B31C8">
            <w:pPr>
              <w:pStyle w:val="Akapitzlist"/>
              <w:numPr>
                <w:ilvl w:val="0"/>
                <w:numId w:val="1"/>
              </w:numPr>
              <w:ind w:left="173" w:hanging="218"/>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Written credit</w:t>
            </w:r>
          </w:p>
        </w:tc>
      </w:tr>
    </w:tbl>
    <w:p w14:paraId="162C3D81" w14:textId="77777777" w:rsidR="00D54AAE" w:rsidRPr="006B31C8" w:rsidRDefault="00D54AAE">
      <w:pPr>
        <w:jc w:val="center"/>
        <w:rPr>
          <w:rFonts w:ascii="Times New Roman" w:hAnsi="Times New Roman" w:cs="Times New Roman"/>
          <w:b/>
          <w:color w:val="000000" w:themeColor="text1"/>
          <w:sz w:val="24"/>
          <w:szCs w:val="24"/>
        </w:rPr>
      </w:pPr>
    </w:p>
    <w:p w14:paraId="3A40341D"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Literature</w:t>
      </w:r>
    </w:p>
    <w:p w14:paraId="4C1C037E" w14:textId="77777777"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Mandatory</w:t>
      </w:r>
    </w:p>
    <w:p w14:paraId="69BED322" w14:textId="77777777" w:rsidR="00D54AAE" w:rsidRPr="000F0FDD" w:rsidRDefault="006B31C8">
      <w:pPr>
        <w:numPr>
          <w:ilvl w:val="0"/>
          <w:numId w:val="5"/>
        </w:numPr>
        <w:spacing w:after="0"/>
        <w:ind w:left="360" w:hanging="360"/>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Rucki, M., &amp; Abdalla, M. (2017). Assyrians – nation, language, faith. Theology and Man, 39(3), 199-219.</w:t>
      </w:r>
    </w:p>
    <w:p w14:paraId="58B6C1CD" w14:textId="77777777" w:rsidR="00D54AAE" w:rsidRPr="000F0FDD" w:rsidRDefault="00D54AAE">
      <w:pPr>
        <w:spacing w:after="0"/>
        <w:rPr>
          <w:rFonts w:ascii="Times New Roman" w:hAnsi="Times New Roman" w:cs="Times New Roman"/>
          <w:color w:val="000000" w:themeColor="text1"/>
          <w:sz w:val="24"/>
          <w:szCs w:val="24"/>
          <w:lang w:val="en-US"/>
        </w:rPr>
      </w:pPr>
    </w:p>
    <w:p w14:paraId="2BABA4A7" w14:textId="77777777" w:rsidR="006B31C8" w:rsidRPr="000F0FDD" w:rsidRDefault="006B31C8">
      <w:pPr>
        <w:rPr>
          <w:rFonts w:ascii="Times New Roman" w:hAnsi="Times New Roman" w:cs="Times New Roman"/>
          <w:b/>
          <w:color w:val="000000" w:themeColor="text1"/>
          <w:sz w:val="24"/>
          <w:szCs w:val="24"/>
          <w:lang w:val="en-US"/>
        </w:rPr>
      </w:pPr>
    </w:p>
    <w:p w14:paraId="72DB2957" w14:textId="77777777" w:rsidR="006B31C8" w:rsidRPr="000F0FDD" w:rsidRDefault="006B31C8">
      <w:pPr>
        <w:rPr>
          <w:rFonts w:ascii="Times New Roman" w:hAnsi="Times New Roman" w:cs="Times New Roman"/>
          <w:b/>
          <w:color w:val="000000" w:themeColor="text1"/>
          <w:sz w:val="24"/>
          <w:szCs w:val="24"/>
          <w:lang w:val="en-US"/>
        </w:rPr>
      </w:pPr>
    </w:p>
    <w:p w14:paraId="5F3EBBC3" w14:textId="77777777" w:rsidR="006B31C8" w:rsidRPr="000F0FDD" w:rsidRDefault="006B31C8">
      <w:pPr>
        <w:rPr>
          <w:rFonts w:ascii="Times New Roman" w:hAnsi="Times New Roman" w:cs="Times New Roman"/>
          <w:b/>
          <w:color w:val="000000" w:themeColor="text1"/>
          <w:sz w:val="24"/>
          <w:szCs w:val="24"/>
          <w:lang w:val="en-US"/>
        </w:rPr>
      </w:pPr>
    </w:p>
    <w:p w14:paraId="7635B860" w14:textId="5CCDD3AF" w:rsidR="00D54AAE" w:rsidRPr="006B31C8" w:rsidRDefault="006B31C8">
      <w:pP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lastRenderedPageBreak/>
        <w:t>Additional</w:t>
      </w:r>
    </w:p>
    <w:p w14:paraId="05EF3217"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Rucki, M. (2022). The political illusions created by the missionaries among the Assyrians at Hakkari: R. Termen's description of missionary activity. </w:t>
      </w:r>
      <w:r w:rsidRPr="006B31C8">
        <w:rPr>
          <w:rFonts w:ascii="Times New Roman" w:hAnsi="Times New Roman" w:cs="Times New Roman"/>
          <w:color w:val="000000" w:themeColor="text1"/>
          <w:sz w:val="24"/>
          <w:szCs w:val="24"/>
        </w:rPr>
        <w:t>Theology and Man, 57(1), 103-123.</w:t>
      </w:r>
    </w:p>
    <w:p w14:paraId="44614F88" w14:textId="77777777" w:rsidR="00D54AAE" w:rsidRPr="000F0FDD" w:rsidRDefault="006B31C8">
      <w:pPr>
        <w:numPr>
          <w:ilvl w:val="0"/>
          <w:numId w:val="6"/>
        </w:numPr>
        <w:spacing w:after="0"/>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Rucki, M. (2019). An analysis of concepts related to the unity and mercy of God in the Syriac text of the anaphora of St. James and the Hebrew text of the Haggadah, including selected works of Syriac literature. Poznań: Adam Mickiewicz University. Retrieved from https://repozytorium.amu.edu.pl/handle/10593/24983.</w:t>
      </w:r>
    </w:p>
    <w:p w14:paraId="6434F091"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Mor Ignatius Aphrem and Barsaum. (2012). Geschichte der syrischen Wissenschafet und Literatur. </w:t>
      </w:r>
      <w:r w:rsidRPr="006B31C8">
        <w:rPr>
          <w:rFonts w:ascii="Times New Roman" w:hAnsi="Times New Roman" w:cs="Times New Roman"/>
          <w:color w:val="000000" w:themeColor="text1"/>
          <w:sz w:val="24"/>
          <w:szCs w:val="24"/>
        </w:rPr>
        <w:t xml:space="preserve">Wiesbaden: </w:t>
      </w:r>
      <w:proofErr w:type="spellStart"/>
      <w:r w:rsidRPr="006B31C8">
        <w:rPr>
          <w:rFonts w:ascii="Times New Roman" w:hAnsi="Times New Roman" w:cs="Times New Roman"/>
          <w:color w:val="000000" w:themeColor="text1"/>
          <w:sz w:val="24"/>
          <w:szCs w:val="24"/>
        </w:rPr>
        <w:t>Harrasovitz</w:t>
      </w:r>
      <w:proofErr w:type="spellEnd"/>
      <w:r w:rsidRPr="006B31C8">
        <w:rPr>
          <w:rFonts w:ascii="Times New Roman" w:hAnsi="Times New Roman" w:cs="Times New Roman"/>
          <w:color w:val="000000" w:themeColor="text1"/>
          <w:sz w:val="24"/>
          <w:szCs w:val="24"/>
        </w:rPr>
        <w:t>.</w:t>
      </w:r>
    </w:p>
    <w:p w14:paraId="5DFDD48C"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Donef, R. (2012). Assyrians post-Nineveh: identity, fragmentation, conflict and survival (672 BC – 1920). </w:t>
      </w:r>
      <w:r w:rsidRPr="006B31C8">
        <w:rPr>
          <w:rFonts w:ascii="Times New Roman" w:hAnsi="Times New Roman" w:cs="Times New Roman"/>
          <w:color w:val="000000" w:themeColor="text1"/>
          <w:sz w:val="24"/>
          <w:szCs w:val="24"/>
        </w:rPr>
        <w:t xml:space="preserve">Sydney: </w:t>
      </w:r>
      <w:proofErr w:type="spellStart"/>
      <w:r w:rsidRPr="006B31C8">
        <w:rPr>
          <w:rFonts w:ascii="Times New Roman" w:hAnsi="Times New Roman" w:cs="Times New Roman"/>
          <w:color w:val="000000" w:themeColor="text1"/>
          <w:sz w:val="24"/>
          <w:szCs w:val="24"/>
        </w:rPr>
        <w:t>Tatavla</w:t>
      </w:r>
      <w:proofErr w:type="spellEnd"/>
      <w:r w:rsidRPr="006B31C8">
        <w:rPr>
          <w:rFonts w:ascii="Times New Roman" w:hAnsi="Times New Roman" w:cs="Times New Roman"/>
          <w:color w:val="000000" w:themeColor="text1"/>
          <w:sz w:val="24"/>
          <w:szCs w:val="24"/>
        </w:rPr>
        <w:t xml:space="preserve"> Publishing.</w:t>
      </w:r>
    </w:p>
    <w:p w14:paraId="6DCFF1F2"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proofErr w:type="spellStart"/>
      <w:r w:rsidRPr="006B31C8">
        <w:rPr>
          <w:rFonts w:ascii="Times New Roman" w:hAnsi="Times New Roman" w:cs="Times New Roman"/>
          <w:color w:val="000000" w:themeColor="text1"/>
          <w:sz w:val="24"/>
          <w:szCs w:val="24"/>
        </w:rPr>
        <w:t>Cetrez</w:t>
      </w:r>
      <w:proofErr w:type="spellEnd"/>
      <w:r w:rsidRPr="006B31C8">
        <w:rPr>
          <w:rFonts w:ascii="Times New Roman" w:hAnsi="Times New Roman" w:cs="Times New Roman"/>
          <w:color w:val="000000" w:themeColor="text1"/>
          <w:sz w:val="24"/>
          <w:szCs w:val="24"/>
        </w:rPr>
        <w:t xml:space="preserve">, O.A., </w:t>
      </w:r>
      <w:proofErr w:type="spellStart"/>
      <w:r w:rsidRPr="006B31C8">
        <w:rPr>
          <w:rFonts w:ascii="Times New Roman" w:hAnsi="Times New Roman" w:cs="Times New Roman"/>
          <w:color w:val="000000" w:themeColor="text1"/>
          <w:sz w:val="24"/>
          <w:szCs w:val="24"/>
        </w:rPr>
        <w:t>Donabed</w:t>
      </w:r>
      <w:proofErr w:type="spellEnd"/>
      <w:r w:rsidRPr="006B31C8">
        <w:rPr>
          <w:rFonts w:ascii="Times New Roman" w:hAnsi="Times New Roman" w:cs="Times New Roman"/>
          <w:color w:val="000000" w:themeColor="text1"/>
          <w:sz w:val="24"/>
          <w:szCs w:val="24"/>
        </w:rPr>
        <w:t xml:space="preserve">, S.G., &amp; </w:t>
      </w:r>
      <w:proofErr w:type="spellStart"/>
      <w:r w:rsidRPr="006B31C8">
        <w:rPr>
          <w:rFonts w:ascii="Times New Roman" w:hAnsi="Times New Roman" w:cs="Times New Roman"/>
          <w:color w:val="000000" w:themeColor="text1"/>
          <w:sz w:val="24"/>
          <w:szCs w:val="24"/>
        </w:rPr>
        <w:t>Makko</w:t>
      </w:r>
      <w:proofErr w:type="spellEnd"/>
      <w:r w:rsidRPr="006B31C8">
        <w:rPr>
          <w:rFonts w:ascii="Times New Roman" w:hAnsi="Times New Roman" w:cs="Times New Roman"/>
          <w:color w:val="000000" w:themeColor="text1"/>
          <w:sz w:val="24"/>
          <w:szCs w:val="24"/>
        </w:rPr>
        <w:t>, A. (</w:t>
      </w:r>
      <w:proofErr w:type="spellStart"/>
      <w:r w:rsidRPr="006B31C8">
        <w:rPr>
          <w:rFonts w:ascii="Times New Roman" w:hAnsi="Times New Roman" w:cs="Times New Roman"/>
          <w:color w:val="000000" w:themeColor="text1"/>
          <w:sz w:val="24"/>
          <w:szCs w:val="24"/>
        </w:rPr>
        <w:t>eds</w:t>
      </w:r>
      <w:proofErr w:type="spellEnd"/>
      <w:r w:rsidRPr="006B31C8">
        <w:rPr>
          <w:rFonts w:ascii="Times New Roman" w:hAnsi="Times New Roman" w:cs="Times New Roman"/>
          <w:color w:val="000000" w:themeColor="text1"/>
          <w:sz w:val="24"/>
          <w:szCs w:val="24"/>
        </w:rPr>
        <w:t xml:space="preserve">.). </w:t>
      </w:r>
      <w:r w:rsidRPr="000F0FDD">
        <w:rPr>
          <w:rFonts w:ascii="Times New Roman" w:hAnsi="Times New Roman" w:cs="Times New Roman"/>
          <w:color w:val="000000" w:themeColor="text1"/>
          <w:sz w:val="24"/>
          <w:szCs w:val="24"/>
          <w:lang w:val="en-US"/>
        </w:rPr>
        <w:t xml:space="preserve">(2012). The Assyrian Heritage – Threads of Continuity and Influence. </w:t>
      </w:r>
      <w:r w:rsidRPr="006B31C8">
        <w:rPr>
          <w:rFonts w:ascii="Times New Roman" w:hAnsi="Times New Roman" w:cs="Times New Roman"/>
          <w:color w:val="000000" w:themeColor="text1"/>
          <w:sz w:val="24"/>
          <w:szCs w:val="24"/>
        </w:rPr>
        <w:t xml:space="preserve">Uppsala: Uppsala </w:t>
      </w:r>
      <w:proofErr w:type="spellStart"/>
      <w:r w:rsidRPr="006B31C8">
        <w:rPr>
          <w:rFonts w:ascii="Times New Roman" w:hAnsi="Times New Roman" w:cs="Times New Roman"/>
          <w:color w:val="000000" w:themeColor="text1"/>
          <w:sz w:val="24"/>
          <w:szCs w:val="24"/>
        </w:rPr>
        <w:t>Universitet</w:t>
      </w:r>
      <w:proofErr w:type="spellEnd"/>
      <w:r w:rsidRPr="006B31C8">
        <w:rPr>
          <w:rFonts w:ascii="Times New Roman" w:hAnsi="Times New Roman" w:cs="Times New Roman"/>
          <w:color w:val="000000" w:themeColor="text1"/>
          <w:sz w:val="24"/>
          <w:szCs w:val="24"/>
        </w:rPr>
        <w:t>.</w:t>
      </w:r>
    </w:p>
    <w:p w14:paraId="5D81D11D"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Warda, W.W. (2013). Assyrians Beyond the Fall of Nineveh. </w:t>
      </w:r>
      <w:proofErr w:type="spellStart"/>
      <w:r w:rsidRPr="006B31C8">
        <w:rPr>
          <w:rFonts w:ascii="Times New Roman" w:hAnsi="Times New Roman" w:cs="Times New Roman"/>
          <w:color w:val="000000" w:themeColor="text1"/>
          <w:sz w:val="24"/>
          <w:szCs w:val="24"/>
        </w:rPr>
        <w:t>Lexington</w:t>
      </w:r>
      <w:proofErr w:type="spellEnd"/>
      <w:r w:rsidRPr="006B31C8">
        <w:rPr>
          <w:rFonts w:ascii="Times New Roman" w:hAnsi="Times New Roman" w:cs="Times New Roman"/>
          <w:color w:val="000000" w:themeColor="text1"/>
          <w:sz w:val="24"/>
          <w:szCs w:val="24"/>
        </w:rPr>
        <w:t>: Warda Publishing.</w:t>
      </w:r>
    </w:p>
    <w:p w14:paraId="58403DA5"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Donef, R. (2012). Assyrians post-Nineveh: identity, fragmentation, conflict and survival (672 BC – 1920). </w:t>
      </w:r>
      <w:r w:rsidRPr="006B31C8">
        <w:rPr>
          <w:rFonts w:ascii="Times New Roman" w:hAnsi="Times New Roman" w:cs="Times New Roman"/>
          <w:color w:val="000000" w:themeColor="text1"/>
          <w:sz w:val="24"/>
          <w:szCs w:val="24"/>
        </w:rPr>
        <w:t xml:space="preserve">Sydney: </w:t>
      </w:r>
      <w:proofErr w:type="spellStart"/>
      <w:r w:rsidRPr="006B31C8">
        <w:rPr>
          <w:rFonts w:ascii="Times New Roman" w:hAnsi="Times New Roman" w:cs="Times New Roman"/>
          <w:color w:val="000000" w:themeColor="text1"/>
          <w:sz w:val="24"/>
          <w:szCs w:val="24"/>
        </w:rPr>
        <w:t>Tatavla</w:t>
      </w:r>
      <w:proofErr w:type="spellEnd"/>
      <w:r w:rsidRPr="006B31C8">
        <w:rPr>
          <w:rFonts w:ascii="Times New Roman" w:hAnsi="Times New Roman" w:cs="Times New Roman"/>
          <w:color w:val="000000" w:themeColor="text1"/>
          <w:sz w:val="24"/>
          <w:szCs w:val="24"/>
        </w:rPr>
        <w:t xml:space="preserve"> Publishing.</w:t>
      </w:r>
    </w:p>
    <w:p w14:paraId="3389C34D"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Lindsay, J.E. (2005). Daily Life in the Medieval Islamic World. </w:t>
      </w:r>
      <w:r w:rsidRPr="006B31C8">
        <w:rPr>
          <w:rFonts w:ascii="Times New Roman" w:hAnsi="Times New Roman" w:cs="Times New Roman"/>
          <w:color w:val="000000" w:themeColor="text1"/>
          <w:sz w:val="24"/>
          <w:szCs w:val="24"/>
        </w:rPr>
        <w:t xml:space="preserve">London: </w:t>
      </w:r>
      <w:proofErr w:type="spellStart"/>
      <w:r w:rsidRPr="006B31C8">
        <w:rPr>
          <w:rFonts w:ascii="Times New Roman" w:hAnsi="Times New Roman" w:cs="Times New Roman"/>
          <w:color w:val="000000" w:themeColor="text1"/>
          <w:sz w:val="24"/>
          <w:szCs w:val="24"/>
        </w:rPr>
        <w:t>Greenwood</w:t>
      </w:r>
      <w:proofErr w:type="spellEnd"/>
      <w:r w:rsidRPr="006B31C8">
        <w:rPr>
          <w:rFonts w:ascii="Times New Roman" w:hAnsi="Times New Roman" w:cs="Times New Roman"/>
          <w:color w:val="000000" w:themeColor="text1"/>
          <w:sz w:val="24"/>
          <w:szCs w:val="24"/>
        </w:rPr>
        <w:t xml:space="preserve"> Press.</w:t>
      </w:r>
    </w:p>
    <w:p w14:paraId="47162B14"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Flis, A., &amp; Kowalska, B. (2003). Forgotten brothers. The dying world of Christians in the Middle East. </w:t>
      </w:r>
      <w:r w:rsidRPr="006B31C8">
        <w:rPr>
          <w:rFonts w:ascii="Times New Roman" w:hAnsi="Times New Roman" w:cs="Times New Roman"/>
          <w:color w:val="000000" w:themeColor="text1"/>
          <w:sz w:val="24"/>
          <w:szCs w:val="24"/>
        </w:rPr>
        <w:t>Cracow: WAM Publishing House.</w:t>
      </w:r>
    </w:p>
    <w:p w14:paraId="387F6A65" w14:textId="77777777" w:rsidR="00D54AAE" w:rsidRPr="000F0FDD" w:rsidRDefault="006B31C8">
      <w:pPr>
        <w:numPr>
          <w:ilvl w:val="0"/>
          <w:numId w:val="6"/>
        </w:numPr>
        <w:spacing w:after="0"/>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Brock, S.P. (1997). A Brief Outline of Syriac Literature. Baker Heel: St. Ephrem Ecumenical Research Institute.</w:t>
      </w:r>
    </w:p>
    <w:p w14:paraId="0B216D27"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Fitzmyer, J.A. (1997). A Wandering Aramean: Collected Aramaic Essays. </w:t>
      </w:r>
      <w:r w:rsidRPr="006B31C8">
        <w:rPr>
          <w:rFonts w:ascii="Times New Roman" w:hAnsi="Times New Roman" w:cs="Times New Roman"/>
          <w:color w:val="000000" w:themeColor="text1"/>
          <w:sz w:val="24"/>
          <w:szCs w:val="24"/>
        </w:rPr>
        <w:t xml:space="preserve">Grand Rapids: B. </w:t>
      </w:r>
      <w:proofErr w:type="spellStart"/>
      <w:r w:rsidRPr="006B31C8">
        <w:rPr>
          <w:rFonts w:ascii="Times New Roman" w:hAnsi="Times New Roman" w:cs="Times New Roman"/>
          <w:color w:val="000000" w:themeColor="text1"/>
          <w:sz w:val="24"/>
          <w:szCs w:val="24"/>
        </w:rPr>
        <w:t>Eerdmans</w:t>
      </w:r>
      <w:proofErr w:type="spellEnd"/>
      <w:r w:rsidRPr="006B31C8">
        <w:rPr>
          <w:rFonts w:ascii="Times New Roman" w:hAnsi="Times New Roman" w:cs="Times New Roman"/>
          <w:color w:val="000000" w:themeColor="text1"/>
          <w:sz w:val="24"/>
          <w:szCs w:val="24"/>
        </w:rPr>
        <w:t xml:space="preserve"> Publishing Company.</w:t>
      </w:r>
    </w:p>
    <w:p w14:paraId="1C651716"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Pigulewska, N. (1989). Syrian culture in the early Middle Ages. </w:t>
      </w:r>
      <w:proofErr w:type="spellStart"/>
      <w:r w:rsidRPr="006B31C8">
        <w:rPr>
          <w:rFonts w:ascii="Times New Roman" w:hAnsi="Times New Roman" w:cs="Times New Roman"/>
          <w:color w:val="000000" w:themeColor="text1"/>
          <w:sz w:val="24"/>
          <w:szCs w:val="24"/>
        </w:rPr>
        <w:t>Warsaw</w:t>
      </w:r>
      <w:proofErr w:type="spellEnd"/>
      <w:r w:rsidRPr="006B31C8">
        <w:rPr>
          <w:rFonts w:ascii="Times New Roman" w:hAnsi="Times New Roman" w:cs="Times New Roman"/>
          <w:color w:val="000000" w:themeColor="text1"/>
          <w:sz w:val="24"/>
          <w:szCs w:val="24"/>
        </w:rPr>
        <w:t>: PAX.</w:t>
      </w:r>
    </w:p>
    <w:p w14:paraId="6D335705" w14:textId="77777777" w:rsidR="00D54AAE" w:rsidRPr="006B31C8" w:rsidRDefault="006B31C8">
      <w:pPr>
        <w:numPr>
          <w:ilvl w:val="0"/>
          <w:numId w:val="6"/>
        </w:numPr>
        <w:spacing w:after="0"/>
        <w:rPr>
          <w:rFonts w:ascii="Times New Roman" w:hAnsi="Times New Roman" w:cs="Times New Roman"/>
          <w:color w:val="000000" w:themeColor="text1"/>
          <w:sz w:val="24"/>
          <w:szCs w:val="24"/>
        </w:rPr>
      </w:pPr>
      <w:r w:rsidRPr="000F0FDD">
        <w:rPr>
          <w:rFonts w:ascii="Times New Roman" w:hAnsi="Times New Roman" w:cs="Times New Roman"/>
          <w:color w:val="000000" w:themeColor="text1"/>
          <w:sz w:val="24"/>
          <w:szCs w:val="24"/>
          <w:lang w:val="en-US"/>
        </w:rPr>
        <w:t xml:space="preserve">Atiya, A.S. (1979). History of the Eastern Churches. </w:t>
      </w:r>
      <w:proofErr w:type="spellStart"/>
      <w:r w:rsidRPr="006B31C8">
        <w:rPr>
          <w:rFonts w:ascii="Times New Roman" w:hAnsi="Times New Roman" w:cs="Times New Roman"/>
          <w:color w:val="000000" w:themeColor="text1"/>
          <w:sz w:val="24"/>
          <w:szCs w:val="24"/>
        </w:rPr>
        <w:t>Warsaw</w:t>
      </w:r>
      <w:proofErr w:type="spellEnd"/>
      <w:r w:rsidRPr="006B31C8">
        <w:rPr>
          <w:rFonts w:ascii="Times New Roman" w:hAnsi="Times New Roman" w:cs="Times New Roman"/>
          <w:color w:val="000000" w:themeColor="text1"/>
          <w:sz w:val="24"/>
          <w:szCs w:val="24"/>
        </w:rPr>
        <w:t>: PAX.</w:t>
      </w:r>
    </w:p>
    <w:p w14:paraId="659E4536" w14:textId="77777777" w:rsidR="00D54AAE" w:rsidRPr="006B31C8" w:rsidRDefault="00D54AAE">
      <w:pPr>
        <w:spacing w:after="0"/>
        <w:rPr>
          <w:rFonts w:ascii="Times New Roman" w:hAnsi="Times New Roman" w:cs="Times New Roman"/>
          <w:color w:val="000000" w:themeColor="text1"/>
          <w:sz w:val="24"/>
          <w:szCs w:val="24"/>
        </w:rPr>
      </w:pPr>
    </w:p>
    <w:p w14:paraId="0AC0BFB2" w14:textId="77777777" w:rsidR="00D54AAE" w:rsidRPr="006B31C8" w:rsidRDefault="00D54AAE">
      <w:pPr>
        <w:spacing w:after="0"/>
        <w:rPr>
          <w:rFonts w:ascii="Times New Roman" w:hAnsi="Times New Roman" w:cs="Times New Roman"/>
          <w:color w:val="000000" w:themeColor="text1"/>
          <w:sz w:val="24"/>
          <w:szCs w:val="24"/>
        </w:rPr>
      </w:pPr>
    </w:p>
    <w:p w14:paraId="1F86D068" w14:textId="77777777" w:rsidR="00D54AAE"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Student workload and ECTS credits</w:t>
      </w:r>
    </w:p>
    <w:p w14:paraId="55BE9E22" w14:textId="62FA37E7" w:rsidR="006B31C8" w:rsidRPr="006B31C8" w:rsidRDefault="006B31C8">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STATIONARY</w:t>
      </w:r>
    </w:p>
    <w:tbl>
      <w:tblPr>
        <w:tblStyle w:val="Siatkatabeli"/>
        <w:tblW w:w="9062" w:type="dxa"/>
        <w:tblLook w:val="04A0" w:firstRow="1" w:lastRow="0" w:firstColumn="1" w:lastColumn="0" w:noHBand="0" w:noVBand="1"/>
      </w:tblPr>
      <w:tblGrid>
        <w:gridCol w:w="4531"/>
        <w:gridCol w:w="4531"/>
      </w:tblGrid>
      <w:tr w:rsidR="006B31C8" w:rsidRPr="000F0FDD" w14:paraId="0AB29F32" w14:textId="77777777">
        <w:tc>
          <w:tcPr>
            <w:tcW w:w="4531" w:type="dxa"/>
            <w:vAlign w:val="center"/>
          </w:tcPr>
          <w:p w14:paraId="11F5D6DD"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Types of Student Classes</w:t>
            </w:r>
          </w:p>
        </w:tc>
        <w:tc>
          <w:tcPr>
            <w:tcW w:w="4531" w:type="dxa"/>
            <w:vAlign w:val="center"/>
          </w:tcPr>
          <w:p w14:paraId="1F408ECA" w14:textId="77777777" w:rsidR="00D54AAE" w:rsidRPr="000F0FDD" w:rsidRDefault="006B31C8">
            <w:pPr>
              <w:jc w:val="center"/>
              <w:rPr>
                <w:rFonts w:ascii="Times New Roman" w:hAnsi="Times New Roman" w:cs="Times New Roman"/>
                <w:b/>
                <w:color w:val="000000" w:themeColor="text1"/>
                <w:sz w:val="24"/>
                <w:szCs w:val="24"/>
                <w:lang w:val="en-US"/>
              </w:rPr>
            </w:pPr>
            <w:r w:rsidRPr="000F0FDD">
              <w:rPr>
                <w:rFonts w:ascii="Times New Roman" w:hAnsi="Times New Roman" w:cs="Times New Roman"/>
                <w:b/>
                <w:color w:val="000000" w:themeColor="text1"/>
                <w:sz w:val="24"/>
                <w:szCs w:val="24"/>
                <w:lang w:val="en-US"/>
              </w:rPr>
              <w:t>Average number of hours* allocated to the types of classes completed</w:t>
            </w:r>
          </w:p>
        </w:tc>
      </w:tr>
      <w:tr w:rsidR="006B31C8" w:rsidRPr="006B31C8" w14:paraId="69963219" w14:textId="77777777">
        <w:tc>
          <w:tcPr>
            <w:tcW w:w="4531" w:type="dxa"/>
            <w:vAlign w:val="center"/>
          </w:tcPr>
          <w:p w14:paraId="01920368" w14:textId="152C9998" w:rsidR="00D54AAE" w:rsidRPr="006B31C8" w:rsidRDefault="00E27480">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exercise</w:t>
            </w:r>
          </w:p>
        </w:tc>
        <w:tc>
          <w:tcPr>
            <w:tcW w:w="4531" w:type="dxa"/>
            <w:vAlign w:val="center"/>
          </w:tcPr>
          <w:p w14:paraId="59994FC6" w14:textId="5976C494" w:rsidR="00D54AAE" w:rsidRPr="006B31C8" w:rsidRDefault="006B31C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r>
      <w:tr w:rsidR="006B31C8" w:rsidRPr="006B31C8" w14:paraId="0B62A6AD" w14:textId="77777777">
        <w:tc>
          <w:tcPr>
            <w:tcW w:w="4531" w:type="dxa"/>
            <w:vAlign w:val="center"/>
          </w:tcPr>
          <w:p w14:paraId="420CE636" w14:textId="77777777" w:rsidR="00D54AAE" w:rsidRPr="000F0FDD" w:rsidRDefault="006B31C8">
            <w:pPr>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Reading and editing the text</w:t>
            </w:r>
          </w:p>
        </w:tc>
        <w:tc>
          <w:tcPr>
            <w:tcW w:w="4531" w:type="dxa"/>
            <w:vAlign w:val="center"/>
          </w:tcPr>
          <w:p w14:paraId="03E88C7F" w14:textId="64F68E89" w:rsidR="00D54AAE" w:rsidRPr="006B31C8" w:rsidRDefault="006B31C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6B31C8" w:rsidRPr="006B31C8" w14:paraId="0ECC8693" w14:textId="77777777">
        <w:tc>
          <w:tcPr>
            <w:tcW w:w="4531" w:type="dxa"/>
            <w:vAlign w:val="center"/>
          </w:tcPr>
          <w:p w14:paraId="25866378" w14:textId="77777777" w:rsidR="00D54AAE" w:rsidRPr="006B31C8" w:rsidRDefault="006B31C8">
            <w:pPr>
              <w:jc w:val="both"/>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Reading the indicated literature</w:t>
            </w:r>
          </w:p>
        </w:tc>
        <w:tc>
          <w:tcPr>
            <w:tcW w:w="4531" w:type="dxa"/>
            <w:vAlign w:val="center"/>
          </w:tcPr>
          <w:p w14:paraId="2FA2ACD0" w14:textId="043FADFD" w:rsidR="00D54AAE" w:rsidRPr="006B31C8" w:rsidRDefault="006B31C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r>
      <w:tr w:rsidR="006B31C8" w:rsidRPr="006B31C8" w14:paraId="420A25F6" w14:textId="77777777">
        <w:tc>
          <w:tcPr>
            <w:tcW w:w="4531" w:type="dxa"/>
            <w:vAlign w:val="center"/>
          </w:tcPr>
          <w:p w14:paraId="4F14713F" w14:textId="3C603EAD" w:rsidR="00D54AAE" w:rsidRPr="000F0FDD" w:rsidRDefault="006B31C8">
            <w:pPr>
              <w:jc w:val="both"/>
              <w:rPr>
                <w:rFonts w:ascii="Times New Roman" w:hAnsi="Times New Roman" w:cs="Times New Roman"/>
                <w:color w:val="000000" w:themeColor="text1"/>
                <w:sz w:val="24"/>
                <w:szCs w:val="24"/>
                <w:lang w:val="en-US"/>
              </w:rPr>
            </w:pPr>
            <w:r w:rsidRPr="000F0FDD">
              <w:rPr>
                <w:rFonts w:ascii="Times New Roman" w:hAnsi="Times New Roman" w:cs="Times New Roman"/>
                <w:color w:val="000000" w:themeColor="text1"/>
                <w:sz w:val="24"/>
                <w:szCs w:val="24"/>
                <w:lang w:val="en-US"/>
              </w:rPr>
              <w:t>Preparation for the exam/exam</w:t>
            </w:r>
          </w:p>
        </w:tc>
        <w:tc>
          <w:tcPr>
            <w:tcW w:w="4531" w:type="dxa"/>
            <w:vAlign w:val="center"/>
          </w:tcPr>
          <w:p w14:paraId="5E496DE7"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10</w:t>
            </w:r>
          </w:p>
        </w:tc>
      </w:tr>
      <w:tr w:rsidR="006B31C8" w:rsidRPr="006B31C8" w14:paraId="14582082" w14:textId="77777777">
        <w:tc>
          <w:tcPr>
            <w:tcW w:w="4531" w:type="dxa"/>
            <w:vAlign w:val="center"/>
          </w:tcPr>
          <w:p w14:paraId="1A5F2F8D"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Total Student Workload</w:t>
            </w:r>
          </w:p>
        </w:tc>
        <w:tc>
          <w:tcPr>
            <w:tcW w:w="4531" w:type="dxa"/>
            <w:vAlign w:val="center"/>
          </w:tcPr>
          <w:p w14:paraId="50AFFE40"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Number of hours</w:t>
            </w:r>
          </w:p>
          <w:p w14:paraId="0AB9C8C7" w14:textId="77777777" w:rsidR="00D54AAE" w:rsidRPr="006B31C8" w:rsidRDefault="006B31C8">
            <w:pPr>
              <w:jc w:val="center"/>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50</w:t>
            </w:r>
          </w:p>
        </w:tc>
      </w:tr>
      <w:tr w:rsidR="006B31C8" w:rsidRPr="006B31C8" w14:paraId="34A70738" w14:textId="77777777">
        <w:tc>
          <w:tcPr>
            <w:tcW w:w="4531" w:type="dxa"/>
            <w:vAlign w:val="center"/>
          </w:tcPr>
          <w:p w14:paraId="13E3E722"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Number of ECTS credits</w:t>
            </w:r>
          </w:p>
        </w:tc>
        <w:tc>
          <w:tcPr>
            <w:tcW w:w="4531" w:type="dxa"/>
            <w:vAlign w:val="center"/>
          </w:tcPr>
          <w:p w14:paraId="2926B6E7" w14:textId="77777777" w:rsidR="00D54AAE" w:rsidRPr="006B31C8" w:rsidRDefault="006B31C8">
            <w:pPr>
              <w:jc w:val="center"/>
              <w:rPr>
                <w:rFonts w:ascii="Times New Roman" w:hAnsi="Times New Roman" w:cs="Times New Roman"/>
                <w:b/>
                <w:color w:val="000000" w:themeColor="text1"/>
                <w:sz w:val="24"/>
                <w:szCs w:val="24"/>
              </w:rPr>
            </w:pPr>
            <w:r w:rsidRPr="006B31C8">
              <w:rPr>
                <w:rFonts w:ascii="Times New Roman" w:hAnsi="Times New Roman" w:cs="Times New Roman"/>
                <w:b/>
                <w:color w:val="000000" w:themeColor="text1"/>
                <w:sz w:val="24"/>
                <w:szCs w:val="24"/>
              </w:rPr>
              <w:t>ECTS</w:t>
            </w:r>
          </w:p>
          <w:p w14:paraId="4D43948F" w14:textId="1A0279C3" w:rsidR="00D54AAE" w:rsidRPr="006B31C8" w:rsidRDefault="006B31C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bl>
    <w:p w14:paraId="06CCBDF3" w14:textId="05F522A8" w:rsidR="00D54AAE" w:rsidRPr="006B31C8" w:rsidRDefault="006B31C8">
      <w:pPr>
        <w:spacing w:before="60" w:after="0"/>
        <w:rPr>
          <w:rFonts w:ascii="Times New Roman" w:hAnsi="Times New Roman" w:cs="Times New Roman"/>
          <w:color w:val="000000" w:themeColor="text1"/>
          <w:sz w:val="24"/>
          <w:szCs w:val="24"/>
        </w:rPr>
      </w:pPr>
      <w:r w:rsidRPr="006B31C8">
        <w:rPr>
          <w:rFonts w:ascii="Times New Roman" w:hAnsi="Times New Roman" w:cs="Times New Roman"/>
          <w:color w:val="000000" w:themeColor="text1"/>
          <w:sz w:val="24"/>
          <w:szCs w:val="24"/>
        </w:rPr>
        <w:t>*one hour (lesson) means 45 minutes</w:t>
      </w:r>
    </w:p>
    <w:sectPr w:rsidR="00D54AAE" w:rsidRPr="006B31C8">
      <w:footerReference w:type="default" r:id="rId8"/>
      <w:pgSz w:w="11906" w:h="16838"/>
      <w:pgMar w:top="1417" w:right="1417" w:bottom="1417" w:left="1417"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27D7" w14:textId="77777777" w:rsidR="00702847" w:rsidRDefault="00702847" w:rsidP="006B31C8">
      <w:pPr>
        <w:spacing w:after="0" w:line="240" w:lineRule="auto"/>
      </w:pPr>
      <w:r>
        <w:separator/>
      </w:r>
    </w:p>
  </w:endnote>
  <w:endnote w:type="continuationSeparator" w:id="0">
    <w:p w14:paraId="59D16120" w14:textId="77777777" w:rsidR="00702847" w:rsidRDefault="00702847" w:rsidP="006B3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855742"/>
      <w:docPartObj>
        <w:docPartGallery w:val="Page Numbers (Bottom of Page)"/>
        <w:docPartUnique/>
      </w:docPartObj>
    </w:sdtPr>
    <w:sdtEndPr/>
    <w:sdtContent>
      <w:p w14:paraId="077A51D4" w14:textId="10DED2F1" w:rsidR="006B31C8" w:rsidRDefault="006B31C8">
        <w:pPr>
          <w:pStyle w:val="Stopka"/>
          <w:jc w:val="center"/>
        </w:pPr>
        <w:r>
          <w:fldChar w:fldCharType="begin"/>
        </w:r>
        <w:r>
          <w:instrText>PAGE   \* MERGEFORMAT</w:instrText>
        </w:r>
        <w:r>
          <w:fldChar w:fldCharType="separate"/>
        </w:r>
        <w:r>
          <w:t>2</w:t>
        </w:r>
        <w:r>
          <w:fldChar w:fldCharType="end"/>
        </w:r>
      </w:p>
    </w:sdtContent>
  </w:sdt>
  <w:p w14:paraId="2912A213" w14:textId="77777777" w:rsidR="006B31C8" w:rsidRDefault="006B31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D618" w14:textId="77777777" w:rsidR="00702847" w:rsidRDefault="00702847" w:rsidP="006B31C8">
      <w:pPr>
        <w:spacing w:after="0" w:line="240" w:lineRule="auto"/>
      </w:pPr>
      <w:r>
        <w:separator/>
      </w:r>
    </w:p>
  </w:footnote>
  <w:footnote w:type="continuationSeparator" w:id="0">
    <w:p w14:paraId="23704C43" w14:textId="77777777" w:rsidR="00702847" w:rsidRDefault="00702847" w:rsidP="006B3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953EE"/>
    <w:multiLevelType w:val="singleLevel"/>
    <w:tmpl w:val="1A00D5CE"/>
    <w:name w:val="Bullet 2"/>
    <w:lvl w:ilvl="0">
      <w:start w:val="1"/>
      <w:numFmt w:val="ordinal"/>
      <w:lvlText w:val="%1"/>
      <w:lvlJc w:val="left"/>
      <w:pPr>
        <w:ind w:left="0" w:firstLine="0"/>
      </w:pPr>
    </w:lvl>
  </w:abstractNum>
  <w:abstractNum w:abstractNumId="1" w15:restartNumberingAfterBreak="0">
    <w:nsid w:val="10472C96"/>
    <w:multiLevelType w:val="hybridMultilevel"/>
    <w:tmpl w:val="618CA5EA"/>
    <w:lvl w:ilvl="0" w:tplc="7CE2924C">
      <w:numFmt w:val="none"/>
      <w:lvlText w:val=""/>
      <w:lvlJc w:val="left"/>
      <w:pPr>
        <w:tabs>
          <w:tab w:val="num" w:pos="360"/>
        </w:tabs>
        <w:ind w:left="360" w:hanging="360"/>
      </w:pPr>
    </w:lvl>
    <w:lvl w:ilvl="1" w:tplc="DC0C6DCC">
      <w:numFmt w:val="none"/>
      <w:lvlText w:val=""/>
      <w:lvlJc w:val="left"/>
      <w:pPr>
        <w:tabs>
          <w:tab w:val="num" w:pos="360"/>
        </w:tabs>
        <w:ind w:left="360" w:hanging="360"/>
      </w:pPr>
    </w:lvl>
    <w:lvl w:ilvl="2" w:tplc="ABB4BCF0">
      <w:numFmt w:val="none"/>
      <w:lvlText w:val=""/>
      <w:lvlJc w:val="left"/>
      <w:pPr>
        <w:tabs>
          <w:tab w:val="num" w:pos="360"/>
        </w:tabs>
        <w:ind w:left="360" w:hanging="360"/>
      </w:pPr>
    </w:lvl>
    <w:lvl w:ilvl="3" w:tplc="B3D0DDB0">
      <w:numFmt w:val="none"/>
      <w:lvlText w:val=""/>
      <w:lvlJc w:val="left"/>
      <w:pPr>
        <w:tabs>
          <w:tab w:val="num" w:pos="360"/>
        </w:tabs>
        <w:ind w:left="360" w:hanging="360"/>
      </w:pPr>
    </w:lvl>
    <w:lvl w:ilvl="4" w:tplc="42B81464">
      <w:numFmt w:val="none"/>
      <w:lvlText w:val=""/>
      <w:lvlJc w:val="left"/>
      <w:pPr>
        <w:tabs>
          <w:tab w:val="num" w:pos="360"/>
        </w:tabs>
        <w:ind w:left="360" w:hanging="360"/>
      </w:pPr>
    </w:lvl>
    <w:lvl w:ilvl="5" w:tplc="8DF67924">
      <w:numFmt w:val="none"/>
      <w:lvlText w:val=""/>
      <w:lvlJc w:val="left"/>
      <w:pPr>
        <w:tabs>
          <w:tab w:val="num" w:pos="360"/>
        </w:tabs>
        <w:ind w:left="360" w:hanging="360"/>
      </w:pPr>
    </w:lvl>
    <w:lvl w:ilvl="6" w:tplc="B9382B62">
      <w:numFmt w:val="none"/>
      <w:lvlText w:val=""/>
      <w:lvlJc w:val="left"/>
      <w:pPr>
        <w:tabs>
          <w:tab w:val="num" w:pos="360"/>
        </w:tabs>
        <w:ind w:left="360" w:hanging="360"/>
      </w:pPr>
    </w:lvl>
    <w:lvl w:ilvl="7" w:tplc="9920EE38">
      <w:numFmt w:val="none"/>
      <w:lvlText w:val=""/>
      <w:lvlJc w:val="left"/>
      <w:pPr>
        <w:tabs>
          <w:tab w:val="num" w:pos="360"/>
        </w:tabs>
        <w:ind w:left="360" w:hanging="360"/>
      </w:pPr>
    </w:lvl>
    <w:lvl w:ilvl="8" w:tplc="5E88F208">
      <w:numFmt w:val="none"/>
      <w:lvlText w:val=""/>
      <w:lvlJc w:val="left"/>
      <w:pPr>
        <w:tabs>
          <w:tab w:val="num" w:pos="360"/>
        </w:tabs>
        <w:ind w:left="360" w:hanging="360"/>
      </w:pPr>
    </w:lvl>
  </w:abstractNum>
  <w:abstractNum w:abstractNumId="2" w15:restartNumberingAfterBreak="0">
    <w:nsid w:val="3CC759EC"/>
    <w:multiLevelType w:val="singleLevel"/>
    <w:tmpl w:val="FDA65438"/>
    <w:name w:val="Bullet 6"/>
    <w:lvl w:ilvl="0">
      <w:start w:val="1"/>
      <w:numFmt w:val="decimal"/>
      <w:lvlText w:val="%1."/>
      <w:lvlJc w:val="left"/>
      <w:pPr>
        <w:tabs>
          <w:tab w:val="num" w:pos="360"/>
        </w:tabs>
        <w:ind w:left="360" w:hanging="360"/>
      </w:pPr>
    </w:lvl>
  </w:abstractNum>
  <w:abstractNum w:abstractNumId="3" w15:restartNumberingAfterBreak="0">
    <w:nsid w:val="580174C9"/>
    <w:multiLevelType w:val="singleLevel"/>
    <w:tmpl w:val="3FD2DDEE"/>
    <w:name w:val="Bullet 3"/>
    <w:lvl w:ilvl="0">
      <w:start w:val="1"/>
      <w:numFmt w:val="ordinal"/>
      <w:lvlText w:val="%1"/>
      <w:lvlJc w:val="left"/>
      <w:pPr>
        <w:ind w:left="0" w:firstLine="0"/>
      </w:pPr>
    </w:lvl>
  </w:abstractNum>
  <w:abstractNum w:abstractNumId="4" w15:restartNumberingAfterBreak="0">
    <w:nsid w:val="5A3D220F"/>
    <w:multiLevelType w:val="singleLevel"/>
    <w:tmpl w:val="A7A26BA6"/>
    <w:name w:val="Bullet 5"/>
    <w:lvl w:ilvl="0">
      <w:start w:val="1"/>
      <w:numFmt w:val="decimal"/>
      <w:lvlText w:val="%1."/>
      <w:lvlJc w:val="left"/>
      <w:pPr>
        <w:ind w:left="0" w:firstLine="0"/>
      </w:pPr>
    </w:lvl>
  </w:abstractNum>
  <w:abstractNum w:abstractNumId="5" w15:restartNumberingAfterBreak="0">
    <w:nsid w:val="5A582909"/>
    <w:multiLevelType w:val="hybridMultilevel"/>
    <w:tmpl w:val="CC3A8B1C"/>
    <w:name w:val="Lista numerowana 1"/>
    <w:lvl w:ilvl="0" w:tplc="24460E46">
      <w:numFmt w:val="bullet"/>
      <w:lvlText w:val="·"/>
      <w:lvlJc w:val="left"/>
      <w:pPr>
        <w:ind w:left="360" w:firstLine="0"/>
      </w:pPr>
      <w:rPr>
        <w:rFonts w:ascii="Symbol" w:hAnsi="Symbol"/>
      </w:rPr>
    </w:lvl>
    <w:lvl w:ilvl="1" w:tplc="CF489A80">
      <w:numFmt w:val="bullet"/>
      <w:lvlText w:val="o"/>
      <w:lvlJc w:val="left"/>
      <w:pPr>
        <w:ind w:left="1080" w:firstLine="0"/>
      </w:pPr>
      <w:rPr>
        <w:rFonts w:ascii="Courier New" w:hAnsi="Courier New" w:cs="Courier New"/>
      </w:rPr>
    </w:lvl>
    <w:lvl w:ilvl="2" w:tplc="BCD81CC6">
      <w:numFmt w:val="bullet"/>
      <w:lvlText w:val=""/>
      <w:lvlJc w:val="left"/>
      <w:pPr>
        <w:ind w:left="1800" w:firstLine="0"/>
      </w:pPr>
      <w:rPr>
        <w:rFonts w:ascii="Wingdings" w:eastAsia="Wingdings" w:hAnsi="Wingdings" w:cs="Wingdings"/>
      </w:rPr>
    </w:lvl>
    <w:lvl w:ilvl="3" w:tplc="23BA0E40">
      <w:numFmt w:val="bullet"/>
      <w:lvlText w:val="·"/>
      <w:lvlJc w:val="left"/>
      <w:pPr>
        <w:ind w:left="2520" w:firstLine="0"/>
      </w:pPr>
      <w:rPr>
        <w:rFonts w:ascii="Symbol" w:hAnsi="Symbol"/>
      </w:rPr>
    </w:lvl>
    <w:lvl w:ilvl="4" w:tplc="2A3490CC">
      <w:numFmt w:val="bullet"/>
      <w:lvlText w:val="o"/>
      <w:lvlJc w:val="left"/>
      <w:pPr>
        <w:ind w:left="3240" w:firstLine="0"/>
      </w:pPr>
      <w:rPr>
        <w:rFonts w:ascii="Courier New" w:hAnsi="Courier New" w:cs="Courier New"/>
      </w:rPr>
    </w:lvl>
    <w:lvl w:ilvl="5" w:tplc="86607C78">
      <w:numFmt w:val="bullet"/>
      <w:lvlText w:val=""/>
      <w:lvlJc w:val="left"/>
      <w:pPr>
        <w:ind w:left="3960" w:firstLine="0"/>
      </w:pPr>
      <w:rPr>
        <w:rFonts w:ascii="Wingdings" w:eastAsia="Wingdings" w:hAnsi="Wingdings" w:cs="Wingdings"/>
      </w:rPr>
    </w:lvl>
    <w:lvl w:ilvl="6" w:tplc="65EEF6A6">
      <w:numFmt w:val="bullet"/>
      <w:lvlText w:val="·"/>
      <w:lvlJc w:val="left"/>
      <w:pPr>
        <w:ind w:left="4680" w:firstLine="0"/>
      </w:pPr>
      <w:rPr>
        <w:rFonts w:ascii="Symbol" w:hAnsi="Symbol"/>
      </w:rPr>
    </w:lvl>
    <w:lvl w:ilvl="7" w:tplc="EE388126">
      <w:numFmt w:val="bullet"/>
      <w:lvlText w:val="o"/>
      <w:lvlJc w:val="left"/>
      <w:pPr>
        <w:ind w:left="5400" w:firstLine="0"/>
      </w:pPr>
      <w:rPr>
        <w:rFonts w:ascii="Courier New" w:hAnsi="Courier New" w:cs="Courier New"/>
      </w:rPr>
    </w:lvl>
    <w:lvl w:ilvl="8" w:tplc="238AB064">
      <w:numFmt w:val="bullet"/>
      <w:lvlText w:val=""/>
      <w:lvlJc w:val="left"/>
      <w:pPr>
        <w:ind w:left="6120" w:firstLine="0"/>
      </w:pPr>
      <w:rPr>
        <w:rFonts w:ascii="Wingdings" w:eastAsia="Wingdings" w:hAnsi="Wingdings" w:cs="Wingdings"/>
      </w:rPr>
    </w:lvl>
  </w:abstractNum>
  <w:abstractNum w:abstractNumId="6" w15:restartNumberingAfterBreak="0">
    <w:nsid w:val="78B763DB"/>
    <w:multiLevelType w:val="singleLevel"/>
    <w:tmpl w:val="3050D254"/>
    <w:name w:val="Bullet 4"/>
    <w:lvl w:ilvl="0">
      <w:start w:val="1"/>
      <w:numFmt w:val="decimal"/>
      <w:lvlText w:val="%1."/>
      <w:lvlJc w:val="left"/>
      <w:pPr>
        <w:ind w:left="0" w:firstLine="0"/>
      </w:pPr>
    </w:lvl>
  </w:abstractNum>
  <w:num w:numId="1">
    <w:abstractNumId w:val="5"/>
  </w:num>
  <w:num w:numId="2">
    <w:abstractNumId w:val="0"/>
  </w:num>
  <w:num w:numId="3">
    <w:abstractNumId w:val="3"/>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AAE"/>
    <w:rsid w:val="000F0FDD"/>
    <w:rsid w:val="00481721"/>
    <w:rsid w:val="00517A08"/>
    <w:rsid w:val="006B31C8"/>
    <w:rsid w:val="00702847"/>
    <w:rsid w:val="00C22FF9"/>
    <w:rsid w:val="00D54AAE"/>
    <w:rsid w:val="00E274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DEF71"/>
  <w15:docId w15:val="{1885D3E9-BA7E-4E24-8740-21BE6500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qFormat/>
    <w:pPr>
      <w:tabs>
        <w:tab w:val="center" w:pos="4536"/>
        <w:tab w:val="right" w:pos="9072"/>
      </w:tabs>
      <w:spacing w:after="0" w:line="240" w:lineRule="auto"/>
    </w:pPr>
  </w:style>
  <w:style w:type="paragraph" w:styleId="Stopka">
    <w:name w:val="footer"/>
    <w:basedOn w:val="Normalny"/>
    <w:uiPriority w:val="99"/>
    <w:qFormat/>
    <w:pPr>
      <w:tabs>
        <w:tab w:val="center" w:pos="4536"/>
        <w:tab w:val="right" w:pos="9072"/>
      </w:tabs>
      <w:spacing w:after="0" w:line="240" w:lineRule="auto"/>
    </w:pPr>
  </w:style>
  <w:style w:type="paragraph" w:styleId="Akapitzlist">
    <w:name w:val="List Paragraph"/>
    <w:basedOn w:val="Normalny"/>
    <w:qFormat/>
    <w:pPr>
      <w:ind w:left="720"/>
      <w:contextualSpacing/>
    </w:pPr>
  </w:style>
  <w:style w:type="paragraph" w:styleId="Tekstpodstawowy">
    <w:name w:val="Body Text"/>
    <w:basedOn w:val="Normalny"/>
    <w:qFormat/>
    <w:pPr>
      <w:spacing w:after="120" w:line="276" w:lineRule="auto"/>
    </w:pPr>
    <w:rPr>
      <w:rFonts w:cs="Times New Roman"/>
    </w:rPr>
  </w:style>
  <w:style w:type="paragraph" w:customStyle="1" w:styleId="Podpunkty">
    <w:name w:val="Podpunkty"/>
    <w:basedOn w:val="Tekstpodstawowy"/>
    <w:qFormat/>
    <w:pPr>
      <w:tabs>
        <w:tab w:val="left" w:pos="-5814"/>
      </w:tabs>
      <w:spacing w:after="0" w:line="240" w:lineRule="auto"/>
      <w:ind w:left="360"/>
      <w:jc w:val="both"/>
    </w:pPr>
    <w:rPr>
      <w:rFonts w:ascii="Times New Roman" w:eastAsia="Times New Roman" w:hAnsi="Times New Roman"/>
      <w:b/>
      <w:szCs w:val="20"/>
      <w:lang w:eastAsia="pl-PL"/>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table" w:customStyle="1" w:styleId="Zwykatabela">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table" w:customStyle="1" w:styleId="Siatkatabeli">
    <w:name w:val="Siatka tabeli"/>
    <w:basedOn w:val="Standardowy"/>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zastpczy">
    <w:name w:val="Placeholder Text"/>
    <w:basedOn w:val="Domylnaczcionkaakapitu"/>
    <w:uiPriority w:val="99"/>
    <w:rsid w:val="000F0F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1220</Words>
  <Characters>7325</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2024-01-22T05:55:00Z</dcterms:created>
  <dcterms:modified xsi:type="dcterms:W3CDTF">2024-03-27T11:19:00Z</dcterms:modified>
</cp:coreProperties>
</file>